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reported):May 6, 2026</w:t>
      </w:r>
    </w:p>
    <w:p>
      <w:pPr>
        <w:spacing w:after="0" w:line="120"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HMH Holding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ectPr>
          <w:pgSz w:w="11900" w:h="16891" w:orient="portrait"/>
          <w:cols w:equalWidth="0" w:num="1">
            <w:col w:w="11240"/>
          </w:cols>
          <w:pgMar w:left="320" w:top="1339" w:right="339" w:bottom="0" w:gutter="0" w:footer="0" w:header="0"/>
        </w:sectPr>
      </w:pPr>
    </w:p>
    <w:p>
      <w:pPr>
        <w:spacing w:after="0" w:line="14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001-43221</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99-2746883</w:t>
      </w:r>
    </w:p>
    <w:p>
      <w:pPr>
        <w:spacing w:after="0" w:line="47" w:lineRule="exact"/>
        <w:rPr>
          <w:sz w:val="24"/>
          <w:szCs w:val="24"/>
          <w:color w:val="auto"/>
        </w:rPr>
      </w:pPr>
    </w:p>
    <w:p>
      <w:pPr>
        <w:sectPr>
          <w:pgSz w:w="11900" w:h="16891" w:orient="portrait"/>
          <w:cols w:equalWidth="0" w:num="3">
            <w:col w:w="4500" w:space="720"/>
            <w:col w:w="2980" w:space="720"/>
            <w:col w:w="2320"/>
          </w:cols>
          <w:pgMar w:left="320" w:top="1339" w:right="339" w:bottom="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91" w:orient="portrait"/>
          <w:cols w:equalWidth="0" w:num="3">
            <w:col w:w="4480" w:space="720"/>
            <w:col w:w="2880" w:space="720"/>
            <w:col w:w="2440"/>
          </w:cols>
          <w:pgMar w:left="320" w:top="1339" w:right="339" w:bottom="0" w:gutter="0" w:footer="0" w:header="0"/>
          <w:type w:val="continuous"/>
        </w:sectPr>
      </w:pPr>
    </w:p>
    <w:p>
      <w:pPr>
        <w:spacing w:after="0" w:line="86"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3300 North Sam Houston Parkway East, Houston, Texas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77032</w:t>
      </w:r>
    </w:p>
    <w:p>
      <w:pPr>
        <w:spacing w:after="0" w:line="59" w:lineRule="exact"/>
        <w:rPr>
          <w:sz w:val="24"/>
          <w:szCs w:val="24"/>
          <w:color w:val="auto"/>
        </w:rPr>
      </w:pPr>
    </w:p>
    <w:p>
      <w:pPr>
        <w:sectPr>
          <w:pgSz w:w="11900" w:h="16891" w:orient="portrait"/>
          <w:cols w:equalWidth="0" w:num="2">
            <w:col w:w="7980" w:space="720"/>
            <w:col w:w="2540"/>
          </w:cols>
          <w:pgMar w:left="320" w:top="1339" w:right="339" w:bottom="0" w:gutter="0" w:footer="0" w:header="0"/>
          <w:type w:val="continuous"/>
        </w:sectPr>
      </w:pPr>
    </w:p>
    <w:p>
      <w:pPr>
        <w:ind w:left="2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91" w:orient="portrait"/>
          <w:cols w:equalWidth="0" w:num="2">
            <w:col w:w="7860" w:space="720"/>
            <w:col w:w="2660"/>
          </w:cols>
          <w:pgMar w:left="320" w:top="1339" w:right="339" w:bottom="0" w:gutter="0" w:footer="0" w:header="0"/>
          <w:type w:val="continuous"/>
        </w:sectPr>
      </w:pP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(281) 449-2000</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0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HMH</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4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6, 2026, HMH Holding Inc. issued a news release reporting its results for the first quarter of 2026. A copy of this news release is furnished as Exhibit 99.1 to this Current Report on Form 8-K and is incorporated by reference herein.</w:t>
      </w:r>
    </w:p>
    <w:p>
      <w:pPr>
        <w:spacing w:after="0" w:line="9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to be “filed” for the purposes of Section 18 of the Securities Exchange Act of 1934, as amended (the “Exchange Act”), or otherwise subject to the liabilities of that section, nor shall such information be deemed incorporated by reference into any registration statement or other filing under the Securities Act of 1933, as amended, or the Exchange Act, unless specifically identified in such filing as being incorporated by reference in such filing.</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4" w:lineRule="exact"/>
        <w:rPr>
          <w:sz w:val="24"/>
          <w:szCs w:val="24"/>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w:t>
      </w:r>
    </w:p>
    <w:p>
      <w:pPr>
        <w:spacing w:after="0" w:line="162"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“News Release of HMH Holding Inc, dated May 6, 2026.”</w:t>
      </w:r>
    </w:p>
    <w:p>
      <w:pPr>
        <w:sectPr>
          <w:pgSz w:w="11900" w:h="16891" w:orient="portrait"/>
          <w:cols w:equalWidth="0" w:num="1">
            <w:col w:w="11240"/>
          </w:cols>
          <w:pgMar w:left="320" w:top="1339" w:right="339" w:bottom="0" w:gutter="0" w:footer="0" w:header="0"/>
          <w:type w:val="continuous"/>
        </w:sectPr>
      </w:pPr>
    </w:p>
    <w:bookmarkStart w:id="1" w:name="page2"/>
    <w:bookmarkEnd w:id="1"/>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HMH HOLDING INC.</w:t>
            </w:r>
          </w:p>
        </w:tc>
      </w:tr>
      <w:tr>
        <w:trPr>
          <w:trHeight w:val="48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29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Dwight W. Rettig</w:t>
            </w:r>
          </w:p>
        </w:tc>
      </w:tr>
      <w:tr>
        <w:trPr>
          <w:trHeight w:val="243"/>
        </w:trPr>
        <w:tc>
          <w:tcPr>
            <w:tcW w:w="3480" w:type="dxa"/>
            <w:vAlign w:val="bottom"/>
          </w:tcPr>
          <w:p>
            <w:pPr>
              <w:spacing w:after="0"/>
              <w:rPr>
                <w:sz w:val="21"/>
                <w:szCs w:val="21"/>
                <w:color w:val="auto"/>
              </w:rPr>
            </w:pPr>
          </w:p>
        </w:tc>
        <w:tc>
          <w:tcPr>
            <w:tcW w:w="29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Dwight W. Rettig</w:t>
            </w:r>
          </w:p>
        </w:tc>
      </w:tr>
      <w:tr>
        <w:trPr>
          <w:trHeight w:val="225"/>
        </w:trPr>
        <w:tc>
          <w:tcPr>
            <w:tcW w:w="3480" w:type="dxa"/>
            <w:vAlign w:val="bottom"/>
          </w:tcPr>
          <w:p>
            <w:pPr>
              <w:spacing w:after="0"/>
              <w:rPr>
                <w:sz w:val="19"/>
                <w:szCs w:val="19"/>
                <w:color w:val="auto"/>
              </w:rPr>
            </w:pPr>
          </w:p>
        </w:tc>
        <w:tc>
          <w:tcPr>
            <w:tcW w:w="29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Administration Officer, General Counsel and Corporate</w:t>
            </w:r>
          </w:p>
        </w:tc>
      </w:tr>
      <w:tr>
        <w:trPr>
          <w:trHeight w:val="234"/>
        </w:trPr>
        <w:tc>
          <w:tcPr>
            <w:tcW w:w="34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240"/>
          </w:cols>
          <w:pgMar w:left="320" w:top="927" w:right="339" w:bottom="1440" w:gutter="0" w:footer="0" w:header="0"/>
        </w:sectPr>
      </w:pPr>
    </w:p>
    <w:bookmarkStart w:id="3" w:name="page4"/>
    <w:bookmarkEnd w:id="3"/>
    <w:p>
      <w:pPr>
        <w:ind w:left="104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HMH Holding Inc. Announces First Quarter 2026 Results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HOUSTON, May 7, 2026 – HMH Holding Inc. (“HMH” or the “Company”) (NASDAQ: HMH) today announced financial and operational results for the first quarter of 2026.</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press release presents the results of HMH Holding B.V., the predecessor of HMH Holding Inc., for financial reporting purposes. HMH Holding Inc., a holding entity, was established with an intent to complete its IPO and related transactions to carry on HMH Holding B.V. business. As of March 31, 2026, HMH Holding Inc. was not engaged in any business or other activities. Therefore, results presented do not purport results of operations of HMH Holding Inc. as if the IPO and related transactions occurred prior to such periods. For example, these historical results do not reflect the attribution of net income to non-controlling interests or the provision for corporate income taxes on the income attributable to HMH Holding Inc. that HMH Holding Inc. expects to recognize in future periods.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Highlights</w:t>
      </w:r>
    </w:p>
    <w:p>
      <w:pPr>
        <w:spacing w:after="0" w:line="166" w:lineRule="exact"/>
        <w:rPr>
          <w:sz w:val="20"/>
          <w:szCs w:val="20"/>
          <w:color w:val="auto"/>
        </w:rPr>
      </w:pPr>
    </w:p>
    <w:p>
      <w:pPr>
        <w:ind w:left="520" w:hanging="107"/>
        <w:spacing w:after="0"/>
        <w:tabs>
          <w:tab w:leader="none" w:pos="5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of $171.3 million, down 14% compared to the first quarter of 2025</w:t>
      </w:r>
    </w:p>
    <w:p>
      <w:pPr>
        <w:spacing w:after="0" w:line="153" w:lineRule="exact"/>
        <w:rPr>
          <w:rFonts w:ascii="Times New Roman" w:cs="Times New Roman" w:eastAsia="Times New Roman" w:hAnsi="Times New Roman"/>
          <w:sz w:val="16"/>
          <w:szCs w:val="16"/>
          <w:color w:val="auto"/>
        </w:rPr>
      </w:pPr>
    </w:p>
    <w:p>
      <w:pPr>
        <w:ind w:left="520" w:hanging="107"/>
        <w:spacing w:after="0"/>
        <w:tabs>
          <w:tab w:leader="none" w:pos="5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attributable to HMH Holding B.V. of $3.4 million, down 44% compared to the first quarter of 2025</w:t>
      </w:r>
    </w:p>
    <w:p>
      <w:pPr>
        <w:spacing w:after="0" w:line="153" w:lineRule="exact"/>
        <w:rPr>
          <w:rFonts w:ascii="Times New Roman" w:cs="Times New Roman" w:eastAsia="Times New Roman" w:hAnsi="Times New Roman"/>
          <w:sz w:val="16"/>
          <w:szCs w:val="16"/>
          <w:color w:val="auto"/>
        </w:rPr>
      </w:pPr>
    </w:p>
    <w:p>
      <w:pPr>
        <w:ind w:left="520" w:hanging="107"/>
        <w:spacing w:after="0"/>
        <w:tabs>
          <w:tab w:leader="none" w:pos="5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of $30.1 million, relatively flat compared to the first quarter of 2025</w:t>
      </w:r>
    </w:p>
    <w:p>
      <w:pPr>
        <w:spacing w:after="0" w:line="140" w:lineRule="exact"/>
        <w:rPr>
          <w:rFonts w:ascii="Times New Roman" w:cs="Times New Roman" w:eastAsia="Times New Roman" w:hAnsi="Times New Roman"/>
          <w:sz w:val="16"/>
          <w:szCs w:val="16"/>
          <w:color w:val="auto"/>
        </w:rPr>
      </w:pPr>
    </w:p>
    <w:p>
      <w:pPr>
        <w:ind w:left="580" w:right="20" w:hanging="167"/>
        <w:spacing w:after="0" w:line="274" w:lineRule="auto"/>
        <w:tabs>
          <w:tab w:leader="none" w:pos="51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Completed initial public offering of 10,520,000 shares of Class A common stock on April 2, 2026 and exercise of underwriters</w:t>
      </w:r>
      <w:r>
        <w:rPr>
          <w:rFonts w:ascii="Arial" w:cs="Arial" w:eastAsia="Arial" w:hAnsi="Arial"/>
          <w:sz w:val="21"/>
          <w:szCs w:val="21"/>
          <w:color w:val="auto"/>
        </w:rPr>
        <w:t>’</w:t>
      </w:r>
      <w:r>
        <w:rPr>
          <w:rFonts w:ascii="Times New Roman" w:cs="Times New Roman" w:eastAsia="Times New Roman" w:hAnsi="Times New Roman"/>
          <w:sz w:val="16"/>
          <w:szCs w:val="16"/>
          <w:color w:val="auto"/>
        </w:rPr>
        <w:t xml:space="preserve"> option to purchase 685,844 shares of Class A common stock on April 30, 2026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HMH Holding Inc. reported revenue for the first quarter of 2026 was $171 million, down 14% as compared to first quarter of 2025, and down 15% as compared to fourth quarter of 2025. Adjusted EBITDA in the first quarter of 2025 was $30 million, relatively flat as compared to first quarter of 2025, and down 44% as compared to fourth quarter of 2025.</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HMH Holding Inc.’s Chief Executive Officer, Eirik Bergsvik, stated: </w:t>
      </w:r>
      <w:r>
        <w:rPr>
          <w:rFonts w:ascii="Times New Roman" w:cs="Times New Roman" w:eastAsia="Times New Roman" w:hAnsi="Times New Roman"/>
          <w:sz w:val="16"/>
          <w:szCs w:val="16"/>
          <w:i w:val="1"/>
          <w:iCs w:val="1"/>
          <w:color w:val="auto"/>
        </w:rPr>
        <w:t>“We are encouraged by a strengthening market and growing demand for our products and services,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despite the global market volatility and lower sales intake. We maintained resilient financial performance through disciplined cost management, a favorable product mix, and strong operational execution demonstrating the underlying strength of HMH’s business. Achieving these results while successfully completing our IPO in a challenging market environment makes the performance even more notable. I want to thank all HMH employees for their tireless efforts and unwavering commitment throughout this process. I also want to recognize our Board of Directors, and everyone involved in the IPO our advisors, underwriters, legal counsel, auditors, and other partners for their support and collaboration in reaching this important milestone.”</w:t>
      </w:r>
    </w:p>
    <w:p>
      <w:pPr>
        <w:spacing w:after="0" w:line="11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Eirik Bergsvik, CEO, concluded </w:t>
      </w:r>
      <w:r>
        <w:rPr>
          <w:rFonts w:ascii="Times New Roman" w:cs="Times New Roman" w:eastAsia="Times New Roman" w:hAnsi="Times New Roman"/>
          <w:sz w:val="16"/>
          <w:szCs w:val="16"/>
          <w:i w:val="1"/>
          <w:iCs w:val="1"/>
          <w:color w:val="auto"/>
        </w:rPr>
        <w:t>“We continue to see a positive outlook across offshore and onshore drilling, supported by higher oil prices and a stronger focus on energy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security. As demand recovers, we expect new awards to drive further fleet reactivations. For 2026, based on current backlog, orders, and margin visibility, we expect full-year adjusted EBITDA of $157 million to $177 million, with bookings, revenue, and adjusted EBITDA as our key focus areas.”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 April 2, 2026, we completed our IPO of 10,520,000 shares of our Class A common stock at a price to the public of $20.00 per share. These sales of our Class A common stock resulted in net proceeds of $197.8 million, after deducting the underwriters’ discounts and offering fees of $12.6 million.</w:t>
      </w:r>
    </w:p>
    <w:p>
      <w:pPr>
        <w:spacing w:after="0" w:line="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used $39.5 million of the net proceeds we received from the IPO as the cash consideration to purchase 2,100,000 HMH Holding B.V. Voting Class A Shares and 2,100,000 HMH Holding B.V. Voting Class B Shares from Baker Hughes and Akastor, the Principal Stockholders. We contributed all of the remaining net proceeds from the IPO to HMH Holding B.V. HMH Holding B.V. used an aggregate of $137.1 million of the net proceeds received, comprised of $110.0 million to be paid to Baker Hughes and $27.1 million to be paid to Akastor, to repay all of the outstanding principal and accrued and unpaid interest under the Shareholder Loan Agreement, and the remaining net proceeds of $21.2 million received by HMH B.V. were used to fund HMH B.V.’s working capital.</w:t>
      </w:r>
    </w:p>
    <w:p>
      <w:pPr>
        <w:spacing w:after="0" w:line="1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 April 30, 2026, the underwriters elected to exercise their option to purchase an additional 685,844 shares of Class A common stock. The transaction closed on May 5, 2026. Net proceeds from this exercise were $12.9 million after deducting discounts and offering fees of $0.8 million. These proceeds went to the principal shareholders.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and Financial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Cost of Sales and Selling, General and Administrative Expenses</w:t>
      </w:r>
    </w:p>
    <w:p>
      <w:pPr>
        <w:spacing w:after="0" w:line="15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Revenue for the first quarter of 2026 was $171.3 million, down 14% as compared to first quarter of 2025, and down 15% as compared to fourth quarter of 2025, driven by declines in products and services volume offset by spares volume. This decrease was primarily due to a reduced product and service backlog entering the period.</w:t>
      </w:r>
    </w:p>
    <w:p>
      <w:pPr>
        <w:sectPr>
          <w:pgSz w:w="11900" w:h="16838" w:orient="portrait"/>
          <w:cols w:equalWidth="0" w:num="1">
            <w:col w:w="11240"/>
          </w:cols>
          <w:pgMar w:left="320" w:top="1055" w:right="339" w:bottom="1440" w:gutter="0" w:footer="0" w:header="0"/>
        </w:sectPr>
      </w:pPr>
    </w:p>
    <w:bookmarkStart w:id="4" w:name="page5"/>
    <w:bookmarkEnd w:id="4"/>
    <w:p>
      <w:pPr>
        <w:jc w:val="both"/>
        <w:spacing w:after="0" w:line="263" w:lineRule="auto"/>
        <w:rPr>
          <w:sz w:val="20"/>
          <w:szCs w:val="20"/>
          <w:color w:val="auto"/>
        </w:rPr>
      </w:pPr>
      <w:r>
        <w:rPr>
          <w:rFonts w:ascii="Times New Roman" w:cs="Times New Roman" w:eastAsia="Times New Roman" w:hAnsi="Times New Roman"/>
          <w:sz w:val="16"/>
          <w:szCs w:val="16"/>
          <w:color w:val="auto"/>
        </w:rPr>
        <w:t>Aftermarket services revenue was $72 million in the quarter, down 14% as compared to first quarter of 2025, and down 30% as compared to fourth quarter of 2025, impacted by softer order intake in 2025 and non-repeat of contractual service volume. Margins in the segment remained supported by service mix, execution focus, and selective cost actions implemented over the past several quarters.</w:t>
      </w:r>
    </w:p>
    <w:p>
      <w:pPr>
        <w:spacing w:after="0" w:line="11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Spares revenue was $66.5 million in the first quarter of 2026, up 11% as compared to first quarter of 2025, driven by land and topside spares slightly offset by pressure control spares, and up 23% as compared to fourth quarter of 2025 as customers prepare for increased activity in the second half of 2026.</w:t>
      </w:r>
    </w:p>
    <w:p>
      <w:pPr>
        <w:spacing w:after="0" w:line="8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Product revenue in the first quarter of 2026 was $32.8 million, down 41% as compared to first quarter of 2025, and down 30% as compared to fourth quarter of 2025, driven by lower starting backlog due to customers’ capex deferrals in 2025.</w:t>
      </w:r>
    </w:p>
    <w:p>
      <w:pPr>
        <w:spacing w:after="0" w:line="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Total cost of sales decreased by $25.3 million, or 17.8%, to $116.6 million in the first quarter of 2026, down from $141.9 million in the first quarter of 2025. Cost of sales as a percentage of revenue decreased to 68.1% in the first quarter of 2026 as compared to 71.5% in the first quarter of 2025. The decrease in cost of sales and cost of sales as a percentage of revenue was due to lower volume, revenue mix, continued cost optimization efforts and increased utilization.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15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the first quarter of 2026, selling, general and administrative expenses decreased by $1.1 million, or 3.1%, to $35.1 million from $36.2 million in the first quarter of 2025, primarily due to continued cost optimization and rationalization efforts.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Order Intake, Adjusted EBITDA and Free Cash Flow</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Orders for the quarter were $218 million, up 10% as compared to first quarter of 2025 driven by products and projects slightly offset by field services and contract services, and up 25% as compared to fourth quarter of 2025, driven by equipment and repairs as customers prepared for increased activity in the second half of 2026. Orders exceeded revenue in the quarter, resulting in a book-to-bill of 1.3x. Importantly, quarter-on-quarter order and backlog growth reflects improving customer visibility and positions us well for increased activity levels in the second half of the year.</w:t>
      </w:r>
    </w:p>
    <w:p>
      <w:pPr>
        <w:spacing w:after="0" w:line="1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Adjusted EBITDA in the quarter was $30.1 million, which was relatively flat year-on-year and down 44% quarter-on-quarter. The quarter-on-quarter EBITDA decline is driven by lower volumes and the non-repeat of Q4 2025 benefits from inventory optimization and contract services, partially offset by spares.</w:t>
      </w:r>
    </w:p>
    <w:p>
      <w:pPr>
        <w:spacing w:after="0" w:line="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Net cash provided by operating activities in the first quarter of 2026 was $7.3 million, down 46% as compared to the first quarter of 2025. Free cash flow was positive at $4.6 million in the quarter. This result reflects expected seasonality, as we typically see a lighter first half of the year while preparing for a second half increase. PP&amp;E and development costs during the quarter were $2.7 million, consistent with historical quarters primarily supporting aftermarket capabilities and service reliability.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has scheduled a conference call on May 7, 2026, at 7:00 am Central Time to discuss its results for the first quarter of 2026. To access the conference call, participants may dial (800) 715-9871 for (U.S.) or (646) 307-1963 for (international) and use Conference ID: 6309447. Participants may listen to the call through a webcast link posted in the Investors section of HMH’s website. A replay of the conference call will be made available on the website approximately two hours following the conclusion of the live call for 30 days.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HMH</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HMH is a leading provider of highly engineered, mission-critical equipment solutions, providing customers with a comprehensive portfolio of drilling equipment, services and systems utilized in oil and gas drilling operations, both offshore and onshore. HMH’s global reach, technical expertise, and innovative product offerings, coupled with its integrated operations from manufacturing to aftermarket services, allow HMH to provide customers with first-class technology, engineering, and project management services through the entire asset lifecycle of the equipment it provides. In addition, HMH is growing its portfolio of products and services to adjacent industries, such as mining. The complexity and criticality of HMH’s installed equipment drive customers to choose HMH for their aftermarket support, particularly in the offshore environment, which is subject to extensive regulation. For more information, please visit HMH’s website at </w:t>
      </w:r>
      <w:r>
        <w:rPr>
          <w:rFonts w:ascii="Times New Roman" w:cs="Times New Roman" w:eastAsia="Times New Roman" w:hAnsi="Times New Roman"/>
          <w:sz w:val="16"/>
          <w:szCs w:val="16"/>
          <w:i w:val="1"/>
          <w:iCs w:val="1"/>
          <w:color w:val="auto"/>
        </w:rPr>
        <w:t>www.hmhw.com</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5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This press release includes certain non-GAAP financial measures, including adjusted EBITDA and free cash flow. These measures are reconciled to the most directly comparable GAAP measures in the accompanying tables and should not be considered as alternatives to GAAP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information in this press release includes forward-looking statements within the meaning of Section 27A of the Securities Act of 1933, as amended, and Section 21E of the Securities Exchange Act of 1934, as amended. These statements generally relate to expectations, beliefs, future events, future expected business, or our future financial or operating performance and prospects, and include statements regarding business plans, objectives, and expected operating results. When used in this press release, words such as “may,” “could,” “should,” “will,” “plan,” “project,” “forecast,” “guidance,” “outlook,” “budget,” “predict,” “pursue,” “target,” “seek,”</w:t>
      </w:r>
    </w:p>
    <w:p>
      <w:pPr>
        <w:sectPr>
          <w:pgSz w:w="11900" w:h="16838" w:orient="portrait"/>
          <w:cols w:equalWidth="0" w:num="1">
            <w:col w:w="11240"/>
          </w:cols>
          <w:pgMar w:left="320" w:top="922"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6"/>
          <w:szCs w:val="16"/>
          <w:color w:val="auto"/>
        </w:rPr>
        <w:t>“objective,” “believe,” “expect,” “anticipate,” “intend,” “estimate,” the negative of these terms and similar expressions are intended to identify forward-looking statements, although not all forward-looking statements contain such identifying words. Forward-looking statements are based on management’s current expectations and assumptions, and are subject to inherent uncertainties, risks and changes in circumstances that are difficult to predict. As a result, actual results could differ materially from those indicated in these forward-looking statements. When considering these forward-looking statements, you should keep in mind the risk factors and other cautionary statements in HMH’s filings with the Securities and Exchange Commission (the “SEC”), including the sections titled “Risk factors” and “Cautionary statement regarding forward-looking statements” in HMH’s final prospectus filed with the SEC on April 1, 2026 and subsequent Quarterly Reports on Form 10-Q. HMH undertakes no obligation and does not intend to update these forward-looking statements to reflect events or circumstances occurring after this press release, except as required by law. You are cautioned not to place undue reliance on these forward-looking statements, which speak only as of the date of this press release.</w:t>
      </w:r>
    </w:p>
    <w:p>
      <w:pPr>
        <w:spacing w:after="0" w:line="11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Investors and others should note that we may announce material information using SEC filings, press releases, public conference calls, webcasts and the Investors section of HMH’s website. We may use these channels to distribute material information about HMH; therefore, we encourage investors, the media, business partners and others interested in HMH to review the information posted on HMH’s website. The information on HMH’s website is not part of, and is not incorporated into, this press release.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Katina Hargett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HMH Holding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(281) 371-4985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investorrelations@hmhw.com</w:t>
      </w:r>
    </w:p>
    <w:p>
      <w:pPr>
        <w:sectPr>
          <w:pgSz w:w="11900" w:h="16838" w:orient="portrait"/>
          <w:cols w:equalWidth="0" w:num="1">
            <w:col w:w="11240"/>
          </w:cols>
          <w:pgMar w:left="320" w:top="922"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HMH Holding B.V.</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Comparative Condensed Consolidated Statements of Income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4"/>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33"/>
        </w:trPr>
        <w:tc>
          <w:tcPr>
            <w:tcW w:w="7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72,009</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83,508</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Product revenue</w:t>
            </w:r>
          </w:p>
        </w:tc>
        <w:tc>
          <w:tcPr>
            <w:tcW w:w="24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32,466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54,658</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Spare parts revenue</w:t>
            </w:r>
          </w:p>
        </w:tc>
        <w:tc>
          <w:tcPr>
            <w:tcW w:w="24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66,519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60,174</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Related party revenue</w:t>
            </w:r>
          </w:p>
        </w:tc>
        <w:tc>
          <w:tcPr>
            <w:tcW w:w="24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171,321</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198,430</w:t>
            </w:r>
          </w:p>
        </w:tc>
        <w:tc>
          <w:tcPr>
            <w:tcW w:w="0" w:type="dxa"/>
            <w:vAlign w:val="bottom"/>
          </w:tcPr>
          <w:p>
            <w:pPr>
              <w:spacing w:after="0"/>
              <w:rPr>
                <w:sz w:val="1"/>
                <w:szCs w:val="1"/>
                <w:color w:val="auto"/>
              </w:rPr>
            </w:pPr>
          </w:p>
        </w:tc>
      </w:tr>
      <w:tr>
        <w:trPr>
          <w:trHeight w:val="165"/>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 sold</w:t>
            </w:r>
          </w:p>
        </w:tc>
        <w:tc>
          <w:tcPr>
            <w:tcW w:w="24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53,058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57,078</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 – products</w:t>
            </w:r>
          </w:p>
        </w:tc>
        <w:tc>
          <w:tcPr>
            <w:tcW w:w="24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25,367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46,697</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 – spare parts</w:t>
            </w:r>
          </w:p>
        </w:tc>
        <w:tc>
          <w:tcPr>
            <w:tcW w:w="24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38,208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38,108</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cost of sales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116,633</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141,883</w:t>
            </w:r>
          </w:p>
        </w:tc>
        <w:tc>
          <w:tcPr>
            <w:tcW w:w="0" w:type="dxa"/>
            <w:vAlign w:val="bottom"/>
          </w:tcPr>
          <w:p>
            <w:pPr>
              <w:spacing w:after="0"/>
              <w:rPr>
                <w:sz w:val="1"/>
                <w:szCs w:val="1"/>
                <w:color w:val="auto"/>
              </w:rPr>
            </w:pPr>
          </w:p>
        </w:tc>
      </w:tr>
      <w:tr>
        <w:trPr>
          <w:trHeight w:val="188"/>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36,238</w:t>
            </w:r>
          </w:p>
        </w:tc>
        <w:tc>
          <w:tcPr>
            <w:tcW w:w="0" w:type="dxa"/>
            <w:vAlign w:val="bottom"/>
          </w:tcPr>
          <w:p>
            <w:pPr>
              <w:spacing w:after="0"/>
              <w:rPr>
                <w:sz w:val="1"/>
                <w:szCs w:val="1"/>
                <w:color w:val="auto"/>
              </w:rPr>
            </w:pPr>
          </w:p>
        </w:tc>
      </w:tr>
      <w:tr>
        <w:trPr>
          <w:trHeight w:val="19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other expenses (income), net</w:t>
            </w:r>
          </w:p>
        </w:tc>
        <w:tc>
          <w:tcPr>
            <w:tcW w:w="24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152,158</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182,423</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19,163</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16,007</w:t>
            </w:r>
          </w:p>
        </w:tc>
        <w:tc>
          <w:tcPr>
            <w:tcW w:w="0" w:type="dxa"/>
            <w:vAlign w:val="bottom"/>
          </w:tcPr>
          <w:p>
            <w:pPr>
              <w:spacing w:after="0"/>
              <w:rPr>
                <w:sz w:val="1"/>
                <w:szCs w:val="1"/>
                <w:color w:val="auto"/>
              </w:rPr>
            </w:pPr>
          </w:p>
        </w:tc>
      </w:tr>
      <w:tr>
        <w:trPr>
          <w:trHeight w:val="188"/>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gain (loss), net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w:t>
            </w:r>
          </w:p>
        </w:tc>
        <w:tc>
          <w:tcPr>
            <w:tcW w:w="0" w:type="dxa"/>
            <w:vAlign w:val="bottom"/>
          </w:tcPr>
          <w:p>
            <w:pPr>
              <w:spacing w:after="0"/>
              <w:rPr>
                <w:sz w:val="1"/>
                <w:szCs w:val="1"/>
                <w:color w:val="auto"/>
              </w:rPr>
            </w:pPr>
          </w:p>
        </w:tc>
      </w:tr>
      <w:tr>
        <w:trPr>
          <w:trHeight w:val="19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(9,179)</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0" w:type="dxa"/>
            <w:vAlign w:val="bottom"/>
          </w:tcPr>
          <w:p>
            <w:pPr>
              <w:spacing w:after="0"/>
              <w:rPr>
                <w:sz w:val="1"/>
                <w:szCs w:val="1"/>
                <w:color w:val="auto"/>
              </w:rPr>
            </w:pPr>
          </w:p>
        </w:tc>
      </w:tr>
      <w:tr>
        <w:trPr>
          <w:trHeight w:val="19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w:t>
            </w:r>
          </w:p>
        </w:tc>
        <w:tc>
          <w:tcPr>
            <w:tcW w:w="0" w:type="dxa"/>
            <w:vAlign w:val="bottom"/>
          </w:tcPr>
          <w:p>
            <w:pPr>
              <w:spacing w:after="0"/>
              <w:rPr>
                <w:sz w:val="1"/>
                <w:szCs w:val="1"/>
                <w:color w:val="auto"/>
              </w:rPr>
            </w:pPr>
          </w:p>
        </w:tc>
      </w:tr>
      <w:tr>
        <w:trPr>
          <w:trHeight w:val="24"/>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3,875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0" w:type="dxa"/>
            <w:vAlign w:val="bottom"/>
          </w:tcPr>
          <w:p>
            <w:pPr>
              <w:spacing w:after="0"/>
              <w:rPr>
                <w:sz w:val="1"/>
                <w:szCs w:val="1"/>
                <w:color w:val="auto"/>
              </w:rPr>
            </w:pPr>
          </w:p>
        </w:tc>
      </w:tr>
      <w:tr>
        <w:trPr>
          <w:trHeight w:val="19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 attributable to HMH Holding B.V.</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3,448</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22"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Current assets</w:t>
      </w:r>
    </w:p>
    <w:p>
      <w:pPr>
        <w:spacing w:after="0" w:line="34"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16"/>
          <w:szCs w:val="16"/>
          <w:color w:val="auto"/>
        </w:rPr>
        <w:t>Cash and cash equivalents Other current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debt, net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debt, net—related party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long-term liabilities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equity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liabilities and shareholders’ equity</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Times New Roman" w:cs="Times New Roman" w:eastAsia="Times New Roman" w:hAnsi="Times New Roman"/>
          <w:sz w:val="22"/>
          <w:szCs w:val="22"/>
          <w:b w:val="1"/>
          <w:bCs w:val="1"/>
          <w:color w:val="auto"/>
        </w:rPr>
        <w:t>HMH Holding B.V.</w:t>
      </w:r>
    </w:p>
    <w:p>
      <w:pPr>
        <w:spacing w:after="0" w:line="32"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21"/>
          <w:szCs w:val="21"/>
          <w:b w:val="1"/>
          <w:bCs w:val="1"/>
          <w:color w:val="auto"/>
        </w:rPr>
        <w:t>Comparative Condensed Consolidated Balance Sheets</w:t>
      </w:r>
    </w:p>
    <w:p>
      <w:pPr>
        <w:spacing w:after="0" w:line="15"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504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9"/>
        </w:trPr>
        <w:tc>
          <w:tcPr>
            <w:tcW w:w="240" w:type="dxa"/>
            <w:vAlign w:val="bottom"/>
          </w:tcPr>
          <w:p>
            <w:pPr>
              <w:spacing w:after="0"/>
              <w:rPr>
                <w:sz w:val="22"/>
                <w:szCs w:val="22"/>
                <w:color w:val="auto"/>
              </w:rPr>
            </w:pPr>
          </w:p>
        </w:tc>
        <w:tc>
          <w:tcPr>
            <w:tcW w:w="2820" w:type="dxa"/>
            <w:vAlign w:val="bottom"/>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810"/>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101,297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96,585</w:t>
            </w:r>
          </w:p>
        </w:tc>
      </w:tr>
      <w:tr>
        <w:trPr>
          <w:trHeight w:val="216"/>
        </w:trPr>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532,625</w:t>
            </w:r>
          </w:p>
        </w:tc>
      </w:tr>
      <w:tr>
        <w:trPr>
          <w:trHeight w:val="216"/>
        </w:trPr>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200,818</w:t>
            </w:r>
          </w:p>
        </w:tc>
      </w:tr>
      <w:tr>
        <w:trPr>
          <w:trHeight w:val="219"/>
        </w:trPr>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523,412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527,676</w:t>
            </w:r>
          </w:p>
        </w:tc>
      </w:tr>
      <w:tr>
        <w:trPr>
          <w:trHeight w:val="210"/>
        </w:trPr>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1,392,922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1,357,704</w:t>
            </w:r>
          </w:p>
        </w:tc>
      </w:tr>
      <w:tr>
        <w:trPr>
          <w:trHeight w:val="23"/>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93"/>
        </w:trPr>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223,639</w:t>
            </w:r>
          </w:p>
        </w:tc>
      </w:tr>
      <w:tr>
        <w:trPr>
          <w:trHeight w:val="216"/>
        </w:trPr>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195,636</w:t>
            </w:r>
          </w:p>
        </w:tc>
      </w:tr>
      <w:tr>
        <w:trPr>
          <w:trHeight w:val="216"/>
        </w:trPr>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143,732</w:t>
            </w:r>
          </w:p>
        </w:tc>
      </w:tr>
      <w:tr>
        <w:trPr>
          <w:trHeight w:val="219"/>
        </w:trPr>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94,583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94,245</w:t>
            </w:r>
          </w:p>
        </w:tc>
      </w:tr>
      <w:tr>
        <w:trPr>
          <w:trHeight w:val="210"/>
        </w:trPr>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682,995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657,252</w:t>
            </w:r>
          </w:p>
        </w:tc>
      </w:tr>
      <w:tr>
        <w:trPr>
          <w:trHeight w:val="210"/>
        </w:trPr>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709,927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700,452</w:t>
            </w:r>
          </w:p>
        </w:tc>
      </w:tr>
      <w:tr>
        <w:trPr>
          <w:trHeight w:val="209"/>
        </w:trPr>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1,392,922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1,357,704</w:t>
            </w:r>
          </w:p>
        </w:tc>
      </w:tr>
    </w:tbl>
    <w:p>
      <w:pPr>
        <w:sectPr>
          <w:pgSz w:w="11900" w:h="16838" w:orient="portrait"/>
          <w:cols w:equalWidth="0" w:num="2">
            <w:col w:w="2620" w:space="500"/>
            <w:col w:w="8100"/>
          </w:cols>
          <w:pgMar w:left="340" w:top="122"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HMH Holding B.V.</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Comparative Condensed 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4"/>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33"/>
        </w:trPr>
        <w:tc>
          <w:tcPr>
            <w:tcW w:w="7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65"/>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3,875</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10,311</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borrowing costs</w:t>
            </w:r>
          </w:p>
        </w:tc>
        <w:tc>
          <w:tcPr>
            <w:tcW w:w="2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Restructuring and other expenses</w:t>
            </w:r>
          </w:p>
        </w:tc>
        <w:tc>
          <w:tcPr>
            <w:tcW w:w="2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2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Paid-in kind interest</w:t>
            </w:r>
          </w:p>
        </w:tc>
        <w:tc>
          <w:tcPr>
            <w:tcW w:w="2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bad debt expense</w:t>
            </w:r>
          </w:p>
        </w:tc>
        <w:tc>
          <w:tcPr>
            <w:tcW w:w="2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inventory write-down</w:t>
            </w:r>
          </w:p>
        </w:tc>
        <w:tc>
          <w:tcPr>
            <w:tcW w:w="2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0" w:type="dxa"/>
            <w:vAlign w:val="bottom"/>
          </w:tcPr>
          <w:p>
            <w:pPr>
              <w:spacing w:after="0"/>
              <w:rPr>
                <w:sz w:val="1"/>
                <w:szCs w:val="1"/>
                <w:color w:val="auto"/>
              </w:rPr>
            </w:pPr>
          </w:p>
        </w:tc>
      </w:tr>
      <w:tr>
        <w:trPr>
          <w:trHeight w:val="23"/>
        </w:trPr>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Net cash provided by (used in) operating activities before changes in operating assets and liabilities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(10,581)</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Development costs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business, net of cash</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long-term loans—revolving credit facilities</w:t>
            </w:r>
          </w:p>
        </w:tc>
        <w:tc>
          <w:tcPr>
            <w:tcW w:w="2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long-term loans—revolving credit facilities</w:t>
            </w:r>
          </w:p>
        </w:tc>
        <w:tc>
          <w:tcPr>
            <w:tcW w:w="2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Effect of foreign exchange rate on cash and cash equivalents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(decrease) / increase in cash and cash equivalents and restricted cash</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96,585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48,912</w:t>
            </w:r>
          </w:p>
        </w:tc>
        <w:tc>
          <w:tcPr>
            <w:tcW w:w="0" w:type="dxa"/>
            <w:vAlign w:val="bottom"/>
          </w:tcPr>
          <w:p>
            <w:pPr>
              <w:spacing w:after="0"/>
              <w:rPr>
                <w:sz w:val="1"/>
                <w:szCs w:val="1"/>
                <w:color w:val="auto"/>
              </w:rPr>
            </w:pPr>
          </w:p>
        </w:tc>
      </w:tr>
      <w:tr>
        <w:trPr>
          <w:trHeight w:val="2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00" w:type="dxa"/>
            <w:vAlign w:val="bottom"/>
            <w:vMerge w:val="continue"/>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101,297</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46,984</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22"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 (loss)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 Interest expense, net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Income tax expense</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Restructuring and other expenses</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Foreign currency (gain) loss, net</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IPO listing related cost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Adjusted EBITDA</w:t>
      </w:r>
    </w:p>
    <w:p>
      <w:pPr>
        <w:spacing w:after="0" w:line="20" w:lineRule="exact"/>
        <w:rPr>
          <w:sz w:val="20"/>
          <w:szCs w:val="20"/>
          <w:color w:val="auto"/>
        </w:rPr>
      </w:pPr>
      <w:r>
        <w:rPr>
          <w:sz w:val="20"/>
          <w:szCs w:val="20"/>
          <w:color w:val="auto"/>
        </w:rPr>
        <w:br w:type="column"/>
      </w:r>
    </w:p>
    <w:p>
      <w:pPr>
        <w:jc w:val="center"/>
        <w:ind w:right="2960"/>
        <w:spacing w:after="0"/>
        <w:rPr>
          <w:sz w:val="20"/>
          <w:szCs w:val="20"/>
          <w:color w:val="auto"/>
        </w:rPr>
      </w:pPr>
      <w:r>
        <w:rPr>
          <w:rFonts w:ascii="Times New Roman" w:cs="Times New Roman" w:eastAsia="Times New Roman" w:hAnsi="Times New Roman"/>
          <w:sz w:val="22"/>
          <w:szCs w:val="22"/>
          <w:b w:val="1"/>
          <w:bCs w:val="1"/>
          <w:color w:val="auto"/>
        </w:rPr>
        <w:t>HMH Holding B.V.</w:t>
      </w:r>
    </w:p>
    <w:p>
      <w:pPr>
        <w:spacing w:after="0" w:line="32" w:lineRule="exact"/>
        <w:rPr>
          <w:sz w:val="20"/>
          <w:szCs w:val="20"/>
          <w:color w:val="auto"/>
        </w:rPr>
      </w:pPr>
    </w:p>
    <w:p>
      <w:pPr>
        <w:jc w:val="center"/>
        <w:ind w:right="2960"/>
        <w:spacing w:after="0"/>
        <w:rPr>
          <w:sz w:val="20"/>
          <w:szCs w:val="20"/>
          <w:color w:val="auto"/>
        </w:rPr>
      </w:pPr>
      <w:r>
        <w:rPr>
          <w:rFonts w:ascii="Times New Roman" w:cs="Times New Roman" w:eastAsia="Times New Roman" w:hAnsi="Times New Roman"/>
          <w:sz w:val="21"/>
          <w:szCs w:val="21"/>
          <w:b w:val="1"/>
          <w:bCs w:val="1"/>
          <w:color w:val="auto"/>
        </w:rPr>
        <w:t>Reconciliation of Net Income (Loss) to Adjusted EBITDA</w:t>
      </w:r>
    </w:p>
    <w:p>
      <w:pPr>
        <w:spacing w:after="0" w:line="200" w:lineRule="exact"/>
        <w:rPr>
          <w:sz w:val="20"/>
          <w:szCs w:val="20"/>
          <w:color w:val="auto"/>
        </w:rPr>
      </w:pPr>
    </w:p>
    <w:p>
      <w:pPr>
        <w:spacing w:after="0" w:line="2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478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3"/>
        </w:trPr>
        <w:tc>
          <w:tcPr>
            <w:tcW w:w="240" w:type="dxa"/>
            <w:vAlign w:val="bottom"/>
          </w:tcPr>
          <w:p>
            <w:pPr>
              <w:spacing w:after="0"/>
              <w:rPr>
                <w:sz w:val="20"/>
                <w:szCs w:val="20"/>
                <w:color w:val="auto"/>
              </w:rPr>
            </w:pPr>
          </w:p>
        </w:tc>
        <w:tc>
          <w:tcPr>
            <w:tcW w:w="3240" w:type="dxa"/>
            <w:vAlign w:val="bottom"/>
            <w:gridSpan w:val="4"/>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747"/>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3,875</w:t>
            </w: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w:t>
            </w:r>
          </w:p>
        </w:tc>
      </w:tr>
      <w:tr>
        <w:trPr>
          <w:trHeight w:val="527"/>
        </w:trPr>
        <w:tc>
          <w:tcPr>
            <w:tcW w:w="24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9,179</w:t>
            </w:r>
          </w:p>
        </w:tc>
      </w:tr>
      <w:tr>
        <w:trPr>
          <w:trHeight w:val="243"/>
        </w:trPr>
        <w:tc>
          <w:tcPr>
            <w:tcW w:w="240" w:type="dxa"/>
            <w:vAlign w:val="bottom"/>
          </w:tcPr>
          <w:p>
            <w:pPr>
              <w:spacing w:after="0"/>
              <w:rPr>
                <w:sz w:val="21"/>
                <w:szCs w:val="21"/>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5,852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5,256</w:t>
            </w:r>
          </w:p>
        </w:tc>
      </w:tr>
      <w:tr>
        <w:trPr>
          <w:trHeight w:val="243"/>
        </w:trPr>
        <w:tc>
          <w:tcPr>
            <w:tcW w:w="240" w:type="dxa"/>
            <w:vAlign w:val="bottom"/>
          </w:tcPr>
          <w:p>
            <w:pPr>
              <w:spacing w:after="0"/>
              <w:rPr>
                <w:sz w:val="21"/>
                <w:szCs w:val="21"/>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10,311</w:t>
            </w:r>
          </w:p>
        </w:tc>
      </w:tr>
      <w:tr>
        <w:trPr>
          <w:trHeight w:val="243"/>
        </w:trPr>
        <w:tc>
          <w:tcPr>
            <w:tcW w:w="2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w:t>
            </w:r>
          </w:p>
        </w:tc>
      </w:tr>
      <w:tr>
        <w:trPr>
          <w:trHeight w:val="243"/>
        </w:trPr>
        <w:tc>
          <w:tcPr>
            <w:tcW w:w="240" w:type="dxa"/>
            <w:vAlign w:val="bottom"/>
          </w:tcPr>
          <w:p>
            <w:pPr>
              <w:spacing w:after="0"/>
              <w:rPr>
                <w:sz w:val="21"/>
                <w:szCs w:val="21"/>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2,228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w:t>
            </w:r>
          </w:p>
        </w:tc>
      </w:tr>
      <w:tr>
        <w:trPr>
          <w:trHeight w:val="243"/>
        </w:trPr>
        <w:tc>
          <w:tcPr>
            <w:tcW w:w="240" w:type="dxa"/>
            <w:vAlign w:val="bottom"/>
          </w:tcPr>
          <w:p>
            <w:pPr>
              <w:spacing w:after="0"/>
              <w:rPr>
                <w:sz w:val="21"/>
                <w:szCs w:val="21"/>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4"/>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30,081</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29,902</w:t>
            </w:r>
          </w:p>
        </w:tc>
      </w:tr>
      <w:tr>
        <w:trPr>
          <w:trHeight w:val="33"/>
        </w:trPr>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600" w:space="360"/>
            <w:col w:w="8260"/>
          </w:cols>
          <w:pgMar w:left="340" w:top="122"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HMH Holding B.V.</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Reconciliation of Net Cash Provided by Operating Activities to Free Cash Flow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4"/>
          </w:tcPr>
          <w:p>
            <w:pPr>
              <w:jc w:val="right"/>
              <w:ind w:right="10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33"/>
        </w:trPr>
        <w:tc>
          <w:tcPr>
            <w:tcW w:w="7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12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8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7,287</w:t>
            </w: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13,587</w:t>
            </w:r>
          </w:p>
        </w:tc>
        <w:tc>
          <w:tcPr>
            <w:tcW w:w="0" w:type="dxa"/>
            <w:vAlign w:val="bottom"/>
          </w:tcPr>
          <w:p>
            <w:pPr>
              <w:spacing w:after="0"/>
              <w:rPr>
                <w:sz w:val="1"/>
                <w:szCs w:val="1"/>
                <w:color w:val="auto"/>
              </w:rPr>
            </w:pPr>
          </w:p>
        </w:tc>
      </w:tr>
      <w:tr>
        <w:trPr>
          <w:trHeight w:val="3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Add: Purchases of property and equipment</w:t>
            </w:r>
          </w:p>
        </w:tc>
        <w:tc>
          <w:tcPr>
            <w:tcW w:w="24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Development costs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33"/>
        </w:trPr>
        <w:tc>
          <w:tcPr>
            <w:tcW w:w="7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Free Cash Flow</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0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4,553</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11,180</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2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2026-05-06T15:28:39Z</dcterms:created>
  <dcterms:modified xsi:type="dcterms:W3CDTF">2026-05-06T15:28:39Z</dcterms:modified>
</cp:coreProperties>
</file>