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0000FF"/>
        </w:rPr>
        <w:t>HMH Holding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575,000.00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575,000.00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575,000.00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HMH Holding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99"/>
        <w:spacing w:after="0"/>
        <w:rPr>
          <w:sz w:val="20"/>
          <w:szCs w:val="20"/>
          <w:color w:val="auto"/>
        </w:rPr>
      </w:pPr>
      <w:r>
        <w:rPr>
          <w:rFonts w:ascii="Times New Roman" w:cs="Times New Roman" w:eastAsia="Times New Roman" w:hAnsi="Times New Roman"/>
          <w:sz w:val="22"/>
          <w:szCs w:val="22"/>
          <w:color w:val="auto"/>
        </w:rPr>
        <w:t>3300 North Sam Houston Parkway East, Houston, TX 77032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60"/>
        <w:spacing w:after="0" w:line="246"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the shares of class A common stock, par value $0.01 per share ("Class A Common Stock"), of HMH Holding Inc. held by Point72 Associates, LLC, an investment fund it manages ("Point72 Associates"); (ii) Point72 Capital Advisors, Inc. ("Point72 Capital Advisors Inc.") with respect to the shares of Class A Common Stock held by Point72 Associates; and (iii) Steven A. Cohen ("Mr. Cohen") with respect to the shares of Class A Common Stock beneficially owned by Point72 Asset Management and Point72 Capital Advisors Inc.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Point72 Asset Management, Point72 Capital Advisors Inc., and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181" w:gutter="0" w:footer="0" w:header="0"/>
        </w:sectPr>
      </w:pPr>
    </w:p>
    <w:p>
      <w:pPr>
        <w:spacing w:after="0" w:line="33" w:lineRule="exact"/>
        <w:rPr>
          <w:sz w:val="20"/>
          <w:szCs w:val="20"/>
          <w:color w:val="auto"/>
        </w:rPr>
      </w:pPr>
    </w:p>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Such information is as of the close of business on April 2, 2026. Point72 Asset Management, Point72 Capital Advisors Inc., and Mr. Cohen own directly no shares of Class A Common Stock.</w:t>
      </w:r>
    </w:p>
    <w:p>
      <w:pPr>
        <w:ind w:left="920" w:right="2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of Class A Common Stock reported herein.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April 2, 2026.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2" w:right="419" w:bottom="181"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April 2,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 Such information is as of the close of business on April 2,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 Such information is as of the close of business on April 2,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See Item 2(a). Point72 Associates has the right to receive or the power to direct the receipt of dividends from, or the proceeds from the sale of, more than 5 percent of the outstanding Class A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2026-04-06T15:30:58Z</dcterms:created>
  <dcterms:modified xsi:type="dcterms:W3CDTF">2026-04-06T15:30:58Z</dcterms:modified>
</cp:coreProperties>
</file>