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8701.xml.htm"/>
      <w:bookmarkStart w:id="1" w:name="kswkform4_1788558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CHAUVIERE E CHARLS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3300 NORTH SAM HOUSTON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HMH Holding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HMH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Operations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96,594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92,294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April 2, 2026, the reporting person was granted 10,927 performance-based restricted stock units, each of which represented a contingent right to receive one share of Class A common stock, par value $0.01 per share, of HMH Holding Inc. (the "Issuer"). The restricted stock units could be earned up to 200% of target depending on the Issuer's EBITDA growth as compared to the EBITDA growth of a set of peer companies over the three-year period from September 1, 2023 through August 31, 2026 and subject to the reporting person's continued service throughout such three-year period. On September 3, 2026, the Compensation Committee of the Board of Directors of the Issuer certified achievement of the performance condition at 50%, resulting in the restricted stock units originally granted becoming earned at 100% of the target amount granted.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Class A common stock, par value $0.01 per share of the Issuer withheld to satisfy tax withholding obligations upon the vesting of performance-based restricted stock units. This net settlement was approved by the board of directors of the Issuer pursuant to Rule 16b-3 under the Securities Exchange Act of 1934, as amended.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Dwight W. Rettig,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0953" TargetMode="External"/><Relationship Id="rId5" Type="http://schemas.openxmlformats.org/officeDocument/2006/relationships/hyperlink" Target="http://www.sec.gov/cgi-bin/browse-edgar?action=getcompany&amp;CIK=0002021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772</Words>
  <Characters>4150</Characters>
  <CharactersWithSpaces>4845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