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9026.xml.htm"/>
      <w:bookmarkStart w:id="1" w:name="kswkform4_17885590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Skogerbo Pal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NORTH SAM HOUSTON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HMH Holding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HMH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67,211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2, 2026, the reporting person was granted 10,927 performance-based restricted stock units, each of which represented a contingent right to receive one share of Class A common stock, par value $0.01 per share, of HMH Holding Inc. (the "Issuer"). The restricted stock units could be earned up to 200% of target depending on the Issuer's EBITDA growth as compared to the EBITDA growth of a set of peer companies over the three-year period from September 1, 2023 through August 31, 2026 and subject to the reporting person's continued service throughout such three-year period. On September 3, 2026, the Compensation Committee of the Board of Directors of the Issuer certified achievement of the performance condition at 50%, resulting in the restricted stock units originally granted becoming earned at 100% of the target amount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stock, par value $0.01 per share of the Issuer withheld to satisfy tax withholding obligations upon the vesting of performance-based restricted stock units. This net settlement was approved by the board of directors of the Issuer pursuant to Rule 16b-3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Dwight W. Rettig,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218" TargetMode="External"/><Relationship Id="rId5" Type="http://schemas.openxmlformats.org/officeDocument/2006/relationships/hyperlink" Target="http://www.sec.gov/cgi-bin/browse-edgar?action=getcompany&amp;CIK=0002021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771</Words>
  <Characters>4145</Characters>
  <CharactersWithSpaces>4839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