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Dyrseth Roy A.</w:t>
              </w:r>
            </w:hyperlink>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HMH Holding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HMH</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440" w:type="dxa"/>
            <w:vAlign w:val="bottom"/>
            <w:tcBorders>
              <w:top w:val="single" w:sz="8" w:color="0000EE"/>
            </w:tcBorders>
          </w:tcPr>
          <w:p>
            <w:pPr>
              <w:spacing w:after="0"/>
              <w:rPr>
                <w:sz w:val="5"/>
                <w:szCs w:val="5"/>
                <w:color w:val="auto"/>
              </w:rPr>
            </w:pPr>
          </w:p>
        </w:tc>
        <w:tc>
          <w:tcPr>
            <w:tcW w:w="2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780" w:type="dxa"/>
            <w:vAlign w:val="bottom"/>
            <w:tcBorders>
              <w:top w:val="single" w:sz="8" w:color="0000EE"/>
              <w:bottom w:val="single" w:sz="8" w:color="9A9A9A"/>
            </w:tcBorders>
          </w:tcPr>
          <w:p>
            <w:pPr>
              <w:spacing w:after="0"/>
              <w:rPr>
                <w:sz w:val="17"/>
                <w:szCs w:val="17"/>
                <w:color w:val="auto"/>
              </w:rPr>
            </w:pPr>
          </w:p>
        </w:tc>
        <w:tc>
          <w:tcPr>
            <w:tcW w:w="580" w:type="dxa"/>
            <w:vAlign w:val="bottom"/>
            <w:tcBorders>
              <w:top w:val="single" w:sz="8" w:color="0000EE"/>
              <w:bottom w:val="single" w:sz="8" w:color="9A9A9A"/>
            </w:tcBorders>
          </w:tcPr>
          <w:p>
            <w:pPr>
              <w:spacing w:after="0"/>
              <w:rPr>
                <w:sz w:val="17"/>
                <w:szCs w:val="17"/>
                <w:color w:val="auto"/>
              </w:rPr>
            </w:pPr>
          </w:p>
        </w:tc>
        <w:tc>
          <w:tcPr>
            <w:tcW w:w="640" w:type="dxa"/>
            <w:vAlign w:val="bottom"/>
            <w:tcBorders>
              <w:bottom w:val="single" w:sz="8" w:color="9A9A9A"/>
            </w:tcBorders>
          </w:tcPr>
          <w:p>
            <w:pPr>
              <w:spacing w:after="0"/>
              <w:rPr>
                <w:sz w:val="17"/>
                <w:szCs w:val="17"/>
                <w:color w:val="auto"/>
              </w:rPr>
            </w:pPr>
          </w:p>
        </w:tc>
        <w:tc>
          <w:tcPr>
            <w:tcW w:w="164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200" w:type="dxa"/>
            <w:vAlign w:val="bottom"/>
            <w:tcBorders>
              <w:top w:val="single" w:sz="8" w:color="2C2C2C"/>
            </w:tcBorders>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Borders>
              <w:top w:val="single" w:sz="8" w:color="2C2C2C"/>
            </w:tcBorders>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10"/>
        </w:trPr>
        <w:tc>
          <w:tcPr>
            <w:tcW w:w="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640" w:type="dxa"/>
            <w:vAlign w:val="bottom"/>
            <w:vMerge w:val="continue"/>
          </w:tcPr>
          <w:p>
            <w:pPr>
              <w:spacing w:after="0"/>
              <w:rPr>
                <w:sz w:val="9"/>
                <w:szCs w:val="9"/>
                <w:color w:val="auto"/>
              </w:rPr>
            </w:pPr>
          </w:p>
        </w:tc>
        <w:tc>
          <w:tcPr>
            <w:tcW w:w="1720" w:type="dxa"/>
            <w:vAlign w:val="bottom"/>
            <w:gridSpan w:val="4"/>
            <w:vMerge w:val="restart"/>
          </w:tcPr>
          <w:p>
            <w:pPr>
              <w:ind w:left="160"/>
              <w:spacing w:after="0" w:line="180" w:lineRule="exact"/>
              <w:rPr>
                <w:sz w:val="20"/>
                <w:szCs w:val="20"/>
                <w:color w:val="auto"/>
              </w:rPr>
            </w:pPr>
            <w:r>
              <w:rPr>
                <w:rFonts w:ascii="Times New Roman" w:cs="Times New Roman" w:eastAsia="Times New Roman" w:hAnsi="Times New Roman"/>
                <w:sz w:val="17"/>
                <w:szCs w:val="17"/>
                <w:color w:val="0000FF"/>
              </w:rPr>
              <w:t>04/02/2026</w:t>
            </w:r>
          </w:p>
        </w:tc>
        <w:tc>
          <w:tcPr>
            <w:tcW w:w="2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720" w:type="dxa"/>
            <w:vAlign w:val="bottom"/>
            <w:gridSpan w:val="4"/>
            <w:vMerge w:val="continue"/>
          </w:tcPr>
          <w:p>
            <w:pPr>
              <w:spacing w:after="0"/>
              <w:rPr>
                <w:sz w:val="6"/>
                <w:szCs w:val="6"/>
                <w:color w:val="auto"/>
              </w:rPr>
            </w:pPr>
          </w:p>
        </w:tc>
        <w:tc>
          <w:tcPr>
            <w:tcW w:w="218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3300 NORTH SAM HOUSTON PARKWAY EAST</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665"/>
        <w:spacing w:after="0"/>
        <w:rPr>
          <w:sz w:val="20"/>
          <w:szCs w:val="20"/>
          <w:color w:val="auto"/>
        </w:rPr>
      </w:pPr>
      <w:r>
        <w:rPr>
          <w:rFonts w:ascii="Times New Roman" w:cs="Times New Roman" w:eastAsia="Times New Roman" w:hAnsi="Times New Roman"/>
          <w:sz w:val="17"/>
          <w:szCs w:val="17"/>
          <w:color w:val="0000FF"/>
        </w:rPr>
        <w:t>Chief Commercial Officer</w:t>
      </w:r>
    </w:p>
    <w:p>
      <w:pPr>
        <w:spacing w:after="0" w:line="336"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280" w:type="dxa"/>
            <w:vAlign w:val="bottom"/>
            <w:tcBorders>
              <w:bottom w:val="single" w:sz="8" w:color="9A9A9A"/>
            </w:tcBorders>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800" w:type="dxa"/>
            <w:vAlign w:val="bottom"/>
            <w:gridSpan w:val="6"/>
            <w:vMerge w:val="restart"/>
          </w:tcPr>
          <w:p>
            <w:pPr>
              <w:jc w:val="center"/>
              <w:ind w:right="77"/>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8"/>
            <w:vMerge w:val="restart"/>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800" w:type="dxa"/>
            <w:vAlign w:val="bottom"/>
            <w:gridSpan w:val="6"/>
            <w:vMerge w:val="continue"/>
          </w:tcPr>
          <w:p>
            <w:pPr>
              <w:spacing w:after="0"/>
              <w:rPr>
                <w:sz w:val="8"/>
                <w:szCs w:val="8"/>
                <w:color w:val="auto"/>
              </w:rPr>
            </w:pPr>
          </w:p>
        </w:tc>
        <w:tc>
          <w:tcPr>
            <w:tcW w:w="350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gridSpan w:val="2"/>
          </w:tcPr>
          <w:p>
            <w:pPr>
              <w:ind w:left="16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HOUSTON</w:t>
            </w:r>
          </w:p>
        </w:tc>
        <w:tc>
          <w:tcPr>
            <w:tcW w:w="28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TX</w:t>
            </w:r>
          </w:p>
        </w:tc>
        <w:tc>
          <w:tcPr>
            <w:tcW w:w="84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77032</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960" w:type="dxa"/>
            <w:vAlign w:val="bottom"/>
            <w:gridSpan w:val="6"/>
          </w:tcPr>
          <w:p>
            <w:pPr>
              <w:ind w:left="14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3"/>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20" w:type="dxa"/>
            <w:vAlign w:val="bottom"/>
            <w:gridSpan w:val="3"/>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5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4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04/02/2026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99"/>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60,276</w:t>
            </w:r>
            <w:r>
              <w:rPr>
                <w:rFonts w:ascii="Times New Roman" w:cs="Times New Roman" w:eastAsia="Times New Roman" w:hAnsi="Times New Roman"/>
                <w:sz w:val="22"/>
                <w:szCs w:val="22"/>
                <w:color w:val="008000"/>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gridSpan w:val="2"/>
          </w:tcPr>
          <w:p>
            <w:pPr>
              <w:jc w:val="center"/>
              <w:ind w:righ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60,276</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04/02/2026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8,000</w:t>
            </w:r>
            <w:r>
              <w:rPr>
                <w:rFonts w:ascii="Times New Roman" w:cs="Times New Roman" w:eastAsia="Times New Roman" w:hAnsi="Times New Roman"/>
                <w:sz w:val="22"/>
                <w:szCs w:val="22"/>
                <w:color w:val="008000"/>
                <w:vertAlign w:val="superscript"/>
              </w:rPr>
              <w:t>(2)</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gridSpan w:val="2"/>
          </w:tcPr>
          <w:p>
            <w:pPr>
              <w:jc w:val="center"/>
              <w:ind w:righ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68,276</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70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18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40" w:right="16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granted to the reporting person under the HMH Holding Inc. 2026 Long-Term Incentive Plan on April 2, 2026. Each restricted stock unit represents a contingent right to receive one share of Class A common stock, par value $0.01 per share ("Class A Common Stock"), of HMH Holding Inc. (the "Issuer"). The restricted stock units include 46,695 restricted stock units that vested immediately upon grant, 3,018 restricted stock units that vest on September 1, 2026, 4,225 restricted stock units that vest in two equal annual installments on September 1, 2026 and September 1, 2027 and 6,338 restricted stock units that vest in three equal annual installments on September 1, 2026, September 1, 2027 and September 1, 2028.</w:t>
      </w:r>
    </w:p>
    <w:p>
      <w:pPr>
        <w:spacing w:after="0" w:line="24"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Class A Common Stock purchased by the reporting person through the directed share program conducted in connection with the Issuer's initial public offering.</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Dwight W. Rettig, attorney- </w:t>
      </w:r>
      <w:r>
        <w:rPr>
          <w:rFonts w:ascii="Times New Roman" w:cs="Times New Roman" w:eastAsia="Times New Roman" w:hAnsi="Times New Roman"/>
          <w:sz w:val="34"/>
          <w:szCs w:val="34"/>
          <w:color w:val="0000FF"/>
          <w:vertAlign w:val="subscript"/>
        </w:rPr>
        <w:t>04/06/2026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582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826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2870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702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35162" TargetMode="External"/><Relationship Id="rId14" Type="http://schemas.openxmlformats.org/officeDocument/2006/relationships/hyperlink" Target="http://www.sec.gov/cgi-bin/browse-edgar?action=getcompany&amp;CIK=000202188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2026-04-06T13:51:05Z</dcterms:created>
  <dcterms:modified xsi:type="dcterms:W3CDTF">2026-04-06T13:51:05Z</dcterms:modified>
</cp:coreProperties>
</file>