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Skogerbo Pal</w:t>
              </w:r>
            </w:hyperlink>
          </w:p>
        </w:tc>
        <w:tc>
          <w:tcPr>
            <w:tcW w:w="8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HMH Holding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HMH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40" w:type="dxa"/>
            <w:vAlign w:val="bottom"/>
            <w:tcBorders>
              <w:top w:val="single" w:sz="8" w:color="0000EE"/>
            </w:tcBorders>
          </w:tcPr>
          <w:p>
            <w:pPr>
              <w:spacing w:after="0"/>
              <w:rPr>
                <w:sz w:val="5"/>
                <w:szCs w:val="5"/>
                <w:color w:val="auto"/>
              </w:rPr>
            </w:pPr>
          </w:p>
        </w:tc>
        <w:tc>
          <w:tcPr>
            <w:tcW w:w="2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1140" w:type="dxa"/>
            <w:vAlign w:val="bottom"/>
            <w:tcBorders>
              <w:top w:val="single" w:sz="8" w:color="0000EE"/>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11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(Last)</w:t>
            </w:r>
          </w:p>
        </w:tc>
        <w:tc>
          <w:tcPr>
            <w:tcW w:w="82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72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05/05/2026</w:t>
            </w: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720" w:type="dxa"/>
            <w:vAlign w:val="bottom"/>
            <w:gridSpan w:val="4"/>
            <w:vMerge w:val="continue"/>
          </w:tcPr>
          <w:p>
            <w:pPr>
              <w:spacing w:after="0"/>
              <w:rPr>
                <w:sz w:val="6"/>
                <w:szCs w:val="6"/>
                <w:color w:val="auto"/>
              </w:rPr>
            </w:pPr>
          </w:p>
        </w:tc>
        <w:tc>
          <w:tcPr>
            <w:tcW w:w="21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3300 NORTH SAM HOUSTON PARKWAY EAST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33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350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77032</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3"/>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05/05/2026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ind w:left="60"/>
              <w:spacing w:after="0" w:line="320" w:lineRule="exact"/>
              <w:rPr>
                <w:sz w:val="20"/>
                <w:szCs w:val="20"/>
                <w:color w:val="auto"/>
              </w:rPr>
            </w:pPr>
            <w:r>
              <w:rPr>
                <w:rFonts w:ascii="Times New Roman" w:cs="Times New Roman" w:eastAsia="Times New Roman" w:hAnsi="Times New Roman"/>
                <w:sz w:val="34"/>
                <w:szCs w:val="34"/>
                <w:color w:val="0000FF"/>
                <w:w w:val="81"/>
                <w:vertAlign w:val="subscript"/>
              </w:rPr>
              <w:t>12,468</w:t>
            </w:r>
            <w:r>
              <w:rPr>
                <w:rFonts w:ascii="Times New Roman" w:cs="Times New Roman" w:eastAsia="Times New Roman" w:hAnsi="Times New Roman"/>
                <w:sz w:val="11"/>
                <w:szCs w:val="11"/>
                <w:color w:val="008000"/>
                <w:w w:val="81"/>
              </w:rPr>
              <w:t>(1)(2)</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73,744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granted to the reporting person under the HMH Holding Inc. 2026 Long-Term Incentive Plan on May 5, 2026. Each restricted stock unit represents a contingent right to receive one share of Class A common stock, par value $0.01 per share, of HMH Holding Inc. (the "Issuer"). Due to an administrative error in the calculation of equity awards granted on April 2, 2026, fewer restricted stock units were granted to the reporting person than were approved by the Board of Directors of the Issuer to be granted on that date. This grant represents a true-up award to align the number of restricted stock units granted with the amounts originally approved.</w:t>
      </w:r>
    </w:p>
    <w:p>
      <w:pPr>
        <w:spacing w:after="0" w:line="24" w:lineRule="exact"/>
        <w:rPr>
          <w:rFonts w:ascii="Times New Roman" w:cs="Times New Roman" w:eastAsia="Times New Roman" w:hAnsi="Times New Roman"/>
          <w:sz w:val="13"/>
          <w:szCs w:val="13"/>
          <w:color w:val="008000"/>
        </w:rPr>
      </w:pPr>
    </w:p>
    <w:p>
      <w:pPr>
        <w:ind w:left="40" w:right="32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The restricted stock units include 9,659 restricted stock units that vested immediately upon grant, 624 restricted stock units that vest on September 1, 2026, 874 restricted stock units that vest in two equal annual installments on September 1, 2026 and September 1, 2027 and 1,311 restricted stock units that vest in three equal annual installments on September 1, 2026, September 1, 2027 and September 1, 2028.</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Dwight W. Rettig, attorney- </w:t>
      </w:r>
      <w:r>
        <w:rPr>
          <w:rFonts w:ascii="Times New Roman" w:cs="Times New Roman" w:eastAsia="Times New Roman" w:hAnsi="Times New Roman"/>
          <w:sz w:val="33"/>
          <w:szCs w:val="33"/>
          <w:color w:val="0000FF"/>
          <w:vertAlign w:val="subscript"/>
        </w:rPr>
        <w:t>05/07/2026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82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35218" TargetMode="External"/><Relationship Id="rId14" Type="http://schemas.openxmlformats.org/officeDocument/2006/relationships/hyperlink" Target="http://www.sec.gov/cgi-bin/browse-edgar?action=getcompany&amp;CIK=00020218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2026-05-07T14:02:23Z</dcterms:created>
  <dcterms:modified xsi:type="dcterms:W3CDTF">2026-05-07T14:02:23Z</dcterms:modified>
</cp:coreProperties>
</file>