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59302.xml.htm"/>
      <w:bookmarkStart w:id="1" w:name="kswkform4_17884593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Bergsvik Eirik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NORTH SAM HOUSTON PARKWAY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HMH Holding Inc</w:t>
              </w:r>
            </w:hyperlink>
            <w:r>
              <w:rPr/>
              <w:t xml:space="preserve"> [ </w:t>
            </w:r>
            <w:r>
              <w:rPr>
                <w:rFonts w:ascii="Times;serif" w:hAnsi="Times;serif"/>
                <w:color w:val="0000FF"/>
                <w:sz w:val="24"/>
                <w:shd w:fill="FFFFFF" w:val="clear"/>
              </w:rPr>
              <w:t>HMH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6,631</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135,038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par value $0.01 per share of the Issuer withheld to satisfy tax withholding obligations upon the vesting of restricted stock units. This settlement was approved by the board of directors of the Issuer pursuant to Rule 16b-3 under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Dwight W. Rettig,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158" TargetMode="External"/><Relationship Id="rId5" Type="http://schemas.openxmlformats.org/officeDocument/2006/relationships/hyperlink" Target="http://www.sec.gov/cgi-bin/browse-edgar?action=getcompany&amp;CIK=00020218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3365</Characters>
  <CharactersWithSpaces>3919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