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CHAUVIERE E CHARLS</w:t>
              </w:r>
            </w:hyperlink>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8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0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60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05/05/2026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25"/>
        <w:spacing w:after="0"/>
        <w:rPr>
          <w:sz w:val="20"/>
          <w:szCs w:val="20"/>
          <w:color w:val="auto"/>
        </w:rPr>
      </w:pPr>
      <w:r>
        <w:rPr>
          <w:rFonts w:ascii="Times New Roman" w:cs="Times New Roman" w:eastAsia="Times New Roman" w:hAnsi="Times New Roman"/>
          <w:sz w:val="17"/>
          <w:szCs w:val="17"/>
          <w:color w:val="0000FF"/>
        </w:rPr>
        <w:t>Chief Operations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17,682</w:t>
            </w:r>
            <w:r>
              <w:rPr>
                <w:rFonts w:ascii="Times New Roman" w:cs="Times New Roman" w:eastAsia="Times New Roman" w:hAnsi="Times New Roman"/>
                <w:sz w:val="11"/>
                <w:szCs w:val="11"/>
                <w:color w:val="008000"/>
                <w:w w:val="81"/>
              </w:rPr>
              <w:t>(1)(2)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103,160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May 5, 2026. Each restricted stock unit represents a contingent right to receive one share of Class A common stock, par value $0.01 per share, of HMH Holding Inc. (the "Issuer"). Due to an administrative error in the calculation of equity awards granted on April 2, 2026, fewer restricted stock units were granted to the reporting person than were approved by the Board of Directors of the Issuer to be granted on that date. This grant represents a true-up award to align the number of restricted stock units granted with the amounts originally approved.</w:t>
      </w:r>
    </w:p>
    <w:p>
      <w:pPr>
        <w:spacing w:after="0" w:line="24" w:lineRule="exact"/>
        <w:rPr>
          <w:rFonts w:ascii="Times New Roman" w:cs="Times New Roman" w:eastAsia="Times New Roman" w:hAnsi="Times New Roman"/>
          <w:sz w:val="13"/>
          <w:szCs w:val="13"/>
          <w:color w:val="008000"/>
        </w:rPr>
      </w:pPr>
    </w:p>
    <w:p>
      <w:pPr>
        <w:ind w:left="40" w:right="2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The restricted stock units include 14,873 restricted stock units that vested immediately upon grant, 624 restricted stock units that vest on September 1, 2026, 874 restricted stock units that vest in two equal annual installments on September 1, 2026 and September 1, 2027 and 1,311 restricted stock units that vest in three equal annual installments on September 1, 2026, September 1, 2027 and September 1, 2028.</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0953"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2026-05-07T14:09:31Z</dcterms:created>
  <dcterms:modified xsi:type="dcterms:W3CDTF">2026-05-07T14:09:31Z</dcterms:modified>
</cp:coreProperties>
</file>