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RETTIG DWIGHT W</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Borders>
              <w:top w:val="single" w:sz="8" w:color="EEEEEE"/>
            </w:tcBorders>
            <w:vMerge w:val="restart"/>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05/05/2026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25"/>
        <w:spacing w:after="0"/>
        <w:rPr>
          <w:sz w:val="20"/>
          <w:szCs w:val="20"/>
          <w:color w:val="auto"/>
        </w:rPr>
      </w:pPr>
      <w:r>
        <w:rPr>
          <w:rFonts w:ascii="Times New Roman" w:cs="Times New Roman" w:eastAsia="Times New Roman" w:hAnsi="Times New Roman"/>
          <w:sz w:val="17"/>
          <w:szCs w:val="17"/>
          <w:color w:val="0000FF"/>
        </w:rPr>
        <w:t>Chf Admn Officer, GC, Corp Sec</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05/05/2026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20,135</w:t>
            </w:r>
            <w:r>
              <w:rPr>
                <w:rFonts w:ascii="Times New Roman" w:cs="Times New Roman" w:eastAsia="Times New Roman" w:hAnsi="Times New Roman"/>
                <w:sz w:val="11"/>
                <w:szCs w:val="11"/>
                <w:color w:val="008000"/>
                <w:w w:val="81"/>
              </w:rPr>
              <w:t>(1)(2)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117,473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May 5, 2026. Each restricted stock unit represents a contingent right to receive one share of Class A common stock, par value $0.01 per share, of HMH Holding Inc. (the "Issuer"). Due to an administrative error in the calculation of equity awards granted on April 2, 2026, fewer restricted stock units were granted to the reporting person than were approved by the Board of Directors of the Issuer to be granted on that date. This grant represents a true-up award to align the number of restricted stock units granted with the amounts originally approved.</w:t>
      </w:r>
    </w:p>
    <w:p>
      <w:pPr>
        <w:spacing w:after="0" w:line="24"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The restricted stock units include 17,326 restricted stock units that vested immediately upon grant, 624 restricted stock units that vest on September 1, 2026, 874 restricted stock units that vest in two equal annual installments on September 1, 2026 and September 1, 2027 and 1,311 restricted stock units that vest in three equal annual installments on September 1, 2026, September 1, 2027 and September 1, 2028.</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Dwight W. Rettig</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05/07/2026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8420"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2026-05-07T14:19:19Z</dcterms:created>
  <dcterms:modified xsi:type="dcterms:W3CDTF">2026-05-07T14:19:19Z</dcterms:modified>
</cp:coreProperties>
</file>