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59519.xml.htm"/>
      <w:bookmarkStart w:id="1" w:name="kswkform4_17884595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Skogerbo Pal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3300 NORTH SAM HOUSTON PARKWAY EAST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HMH Holding Inc</w:t>
              </w:r>
            </w:hyperlink>
            <w:r>
              <w:rPr/>
              <w:t xml:space="preserve"> [ </w:t>
            </w:r>
            <w:r>
              <w:rPr>
                <w:rFonts w:ascii="Times;serif" w:hAnsi="Times;serif"/>
                <w:color w:val="0000FF"/>
                <w:sz w:val="24"/>
                <w:shd w:fill="FFFFFF" w:val="clear"/>
              </w:rPr>
              <w:t>HMH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4,145</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19.26</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56,284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Class A common stock, par value $0.01 per share of the Issuer withheld to satisfy tax withholding obligations upon the vesting of restricted stock units. This net settlement was approved by the board of directors of the Issuer pursuant to Rule 16b-3 under the Securities Exchange Act of 1934, as amended.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Dwight W. Rettig,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5218" TargetMode="External"/><Relationship Id="rId5" Type="http://schemas.openxmlformats.org/officeDocument/2006/relationships/hyperlink" Target="http://www.sec.gov/cgi-bin/browse-edgar?action=getcompany&amp;CIK=00020218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623</Words>
  <Characters>3366</Characters>
  <CharactersWithSpaces>3921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