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Bergsvik Eirik</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HMH Holding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HMH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40" w:type="dxa"/>
            <w:vAlign w:val="bottom"/>
            <w:tcBorders>
              <w:top w:val="single" w:sz="8" w:color="0000EE"/>
            </w:tcBorders>
          </w:tcPr>
          <w:p>
            <w:pPr>
              <w:spacing w:after="0"/>
              <w:rPr>
                <w:sz w:val="5"/>
                <w:szCs w:val="5"/>
                <w:color w:val="auto"/>
              </w:rPr>
            </w:pPr>
          </w:p>
        </w:tc>
        <w:tc>
          <w:tcPr>
            <w:tcW w:w="2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480" w:type="dxa"/>
            <w:vAlign w:val="bottom"/>
            <w:tcBorders>
              <w:top w:val="single" w:sz="8" w:color="0000EE"/>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172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05/05/2026</w:t>
            </w:r>
          </w:p>
        </w:tc>
        <w:tc>
          <w:tcPr>
            <w:tcW w:w="2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1720" w:type="dxa"/>
            <w:vAlign w:val="bottom"/>
            <w:gridSpan w:val="4"/>
            <w:vMerge w:val="continue"/>
          </w:tcPr>
          <w:p>
            <w:pPr>
              <w:spacing w:after="0"/>
              <w:rPr>
                <w:sz w:val="6"/>
                <w:szCs w:val="6"/>
                <w:color w:val="auto"/>
              </w:rPr>
            </w:pPr>
          </w:p>
        </w:tc>
        <w:tc>
          <w:tcPr>
            <w:tcW w:w="21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3300 NORTH SAM HOUSTON PARKWAY EAST</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80" w:type="dxa"/>
            <w:vAlign w:val="bottom"/>
            <w:tcBorders>
              <w:bottom w:val="single" w:sz="8" w:color="9A9A9A"/>
            </w:tcBorders>
          </w:tcPr>
          <w:p>
            <w:pPr>
              <w:spacing w:after="0"/>
              <w:rPr>
                <w:sz w:val="3"/>
                <w:szCs w:val="3"/>
                <w:color w:val="auto"/>
              </w:rPr>
            </w:pPr>
          </w:p>
        </w:tc>
        <w:tc>
          <w:tcPr>
            <w:tcW w:w="84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HOUSTON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w w:val="96"/>
              </w:rPr>
              <w:t>TX</w:t>
            </w:r>
          </w:p>
        </w:tc>
        <w:tc>
          <w:tcPr>
            <w:tcW w:w="84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77032</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05/05/2026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tcPr>
          <w:p>
            <w:pPr>
              <w:ind w:left="60"/>
              <w:spacing w:after="0" w:line="320" w:lineRule="exact"/>
              <w:rPr>
                <w:sz w:val="20"/>
                <w:szCs w:val="20"/>
                <w:color w:val="auto"/>
              </w:rPr>
            </w:pPr>
            <w:r>
              <w:rPr>
                <w:rFonts w:ascii="Times New Roman" w:cs="Times New Roman" w:eastAsia="Times New Roman" w:hAnsi="Times New Roman"/>
                <w:sz w:val="34"/>
                <w:szCs w:val="34"/>
                <w:color w:val="0000FF"/>
                <w:w w:val="81"/>
                <w:vertAlign w:val="subscript"/>
              </w:rPr>
              <w:t>23,138</w:t>
            </w:r>
            <w:r>
              <w:rPr>
                <w:rFonts w:ascii="Times New Roman" w:cs="Times New Roman" w:eastAsia="Times New Roman" w:hAnsi="Times New Roman"/>
                <w:sz w:val="11"/>
                <w:szCs w:val="11"/>
                <w:color w:val="008000"/>
                <w:w w:val="81"/>
              </w:rPr>
              <w:t>(1)(2)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144,996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granted to the reporting person under the HMH Holding Inc. 2026 Long-Term Incentive Plan on May 5, 2026. Each restricted stock unit represents a contingent right to receive one share of Class A common stock, par value $0.01 per share, of HMH Holding Inc. (the "Issuer"). Due to an administrative error in the calculation of equity awards granted on April 2, 2026, fewer restricted stock units were granted to the reporting person than were approved by the Board of Directors of the Issuer to be granted on that date. This grant represents a true-up award to align the number of restricted stock units granted with the amounts originally approved.</w:t>
      </w:r>
    </w:p>
    <w:p>
      <w:pPr>
        <w:spacing w:after="0" w:line="24" w:lineRule="exact"/>
        <w:rPr>
          <w:rFonts w:ascii="Times New Roman" w:cs="Times New Roman" w:eastAsia="Times New Roman" w:hAnsi="Times New Roman"/>
          <w:sz w:val="13"/>
          <w:szCs w:val="13"/>
          <w:color w:val="008000"/>
        </w:rPr>
      </w:pPr>
    </w:p>
    <w:p>
      <w:pPr>
        <w:ind w:left="40" w:right="160" w:firstLine="7"/>
        <w:spacing w:after="0" w:line="249"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1) The restricted stock units include 18,644 restricted stock units that vested immediately upon grant, 999 restricted stock units that vest on September 1, 2026, 1,398 restricted stock units that vest in two equal annual installments on September 1, 2026 and September 1, 2027 and 2,097 restricted stock units that vest in three equal annual installments on September 1, 2026, September 1, 2027 and September 1, 2028.</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Dwight W. Rettig, attorney- </w:t>
      </w:r>
      <w:r>
        <w:rPr>
          <w:rFonts w:ascii="Times New Roman" w:cs="Times New Roman" w:eastAsia="Times New Roman" w:hAnsi="Times New Roman"/>
          <w:sz w:val="33"/>
          <w:szCs w:val="33"/>
          <w:color w:val="0000FF"/>
          <w:vertAlign w:val="subscript"/>
        </w:rPr>
        <w:t>05/07/2026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8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35158" TargetMode="External"/><Relationship Id="rId14" Type="http://schemas.openxmlformats.org/officeDocument/2006/relationships/hyperlink" Target="http://www.sec.gov/cgi-bin/browse-edgar?action=getcompany&amp;CIK=00020218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2026-05-07T14:07:43Z</dcterms:created>
  <dcterms:modified xsi:type="dcterms:W3CDTF">2026-05-07T14:07:43Z</dcterms:modified>
</cp:coreProperties>
</file>