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7" w:lineRule="exact"/>
        <w:rPr>
          <w:sz w:val="24"/>
          <w:szCs w:val="24"/>
          <w:color w:val="auto"/>
        </w:rPr>
      </w:pPr>
    </w:p>
    <w:p>
      <w:pPr>
        <w:ind w:left="320" w:right="2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4"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-532765</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2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-577850</wp:posOffset>
            </wp:positionV>
            <wp:extent cx="55880" cy="591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18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-577850</wp:posOffset>
            </wp:positionV>
            <wp:extent cx="55880" cy="591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118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608330</wp:posOffset>
            </wp:positionV>
            <wp:extent cx="7004050" cy="8195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8195945"/>
                    </a:xfrm>
                    <a:prstGeom prst="rect">
                      <a:avLst/>
                    </a:prstGeom>
                    <a:noFill/>
                  </pic:spPr>
                </pic:pic>
              </a:graphicData>
            </a:graphic>
          </wp:anchor>
        </w:drawing>
      </w:r>
    </w:p>
    <w:p>
      <w:pPr>
        <w:spacing w:after="0" w:line="1028" w:lineRule="exact"/>
        <w:rPr>
          <w:sz w:val="24"/>
          <w:szCs w:val="24"/>
          <w:color w:val="auto"/>
        </w:rPr>
      </w:pPr>
    </w:p>
    <w:p>
      <w:pPr>
        <w:sectPr>
          <w:pgSz w:w="11900" w:h="16874" w:orient="portrait"/>
          <w:cols w:equalWidth="0" w:num="2">
            <w:col w:w="2280" w:space="520"/>
            <w:col w:w="8280"/>
          </w:cols>
          <w:pgMar w:left="460" w:top="210"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Baker Hughes Co</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575 N. DAIRY</w:t>
      </w:r>
    </w:p>
    <w:p>
      <w:pPr>
        <w:spacing w:after="0" w:line="6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5"/>
          <w:szCs w:val="15"/>
          <w:color w:val="0000FF"/>
        </w:rPr>
        <w:t>ASHFORD RD,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HMH Holding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HMH</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04/30/2026</w:t>
      </w:r>
    </w:p>
    <w:p>
      <w:pPr>
        <w:spacing w:after="0" w:line="20" w:lineRule="exact"/>
        <w:rPr>
          <w:sz w:val="24"/>
          <w:szCs w:val="24"/>
          <w:color w:val="auto"/>
        </w:rPr>
      </w:pPr>
      <w:r>
        <w:rPr>
          <w:sz w:val="24"/>
          <w:szCs w:val="24"/>
          <w:color w:val="auto"/>
        </w:rPr>
        <w:br w:type="column"/>
      </w:r>
    </w:p>
    <w:p>
      <w:pPr>
        <w:ind w:left="-1" w:right="840" w:firstLine="1"/>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303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3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5" w:lineRule="exact"/>
        <w:rPr>
          <w:sz w:val="24"/>
          <w:szCs w:val="24"/>
          <w:color w:val="auto"/>
        </w:rPr>
      </w:pPr>
    </w:p>
    <w:p>
      <w:pPr>
        <w:ind w:left="519"/>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0" w:lineRule="exact"/>
        <w:rPr>
          <w:sz w:val="24"/>
          <w:szCs w:val="24"/>
          <w:color w:val="auto"/>
        </w:rPr>
      </w:pPr>
    </w:p>
    <w:p>
      <w:pPr>
        <w:ind w:left="819"/>
        <w:spacing w:after="0"/>
        <w:rPr>
          <w:sz w:val="20"/>
          <w:szCs w:val="20"/>
          <w:color w:val="auto"/>
        </w:rPr>
      </w:pPr>
      <w:r>
        <w:rPr>
          <w:rFonts w:ascii="Times New Roman" w:cs="Times New Roman" w:eastAsia="Times New Roman" w:hAnsi="Times New Roman"/>
          <w:sz w:val="15"/>
          <w:szCs w:val="15"/>
          <w:color w:val="0000FF"/>
        </w:rPr>
        <w:t>Director by Deputization</w:t>
      </w:r>
    </w:p>
    <w:p>
      <w:pPr>
        <w:spacing w:after="0" w:line="508" w:lineRule="exact"/>
        <w:rPr>
          <w:sz w:val="24"/>
          <w:szCs w:val="24"/>
          <w:color w:val="auto"/>
        </w:rPr>
      </w:pPr>
    </w:p>
    <w:p>
      <w:pPr>
        <w:sectPr>
          <w:pgSz w:w="11900" w:h="16874" w:orient="portrait"/>
          <w:cols w:equalWidth="0" w:num="3">
            <w:col w:w="3180" w:space="720"/>
            <w:col w:w="3121" w:space="720"/>
            <w:col w:w="3339"/>
          </w:cols>
          <w:pgMar w:left="460" w:top="210" w:right="359" w:bottom="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11"/>
          </w:tcPr>
          <w:p>
            <w:pPr>
              <w:ind w:left="20"/>
              <w:spacing w:after="0"/>
              <w:rPr>
                <w:sz w:val="20"/>
                <w:szCs w:val="20"/>
                <w:color w:val="auto"/>
              </w:rPr>
            </w:pPr>
            <w:r>
              <w:rPr>
                <w:rFonts w:ascii="Arial" w:cs="Arial" w:eastAsia="Arial" w:hAnsi="Arial"/>
                <w:sz w:val="12"/>
                <w:szCs w:val="12"/>
                <w:color w:val="auto"/>
              </w:rPr>
              <w:t>4. If Amendment, Date of Original Filed (Month/Day/Year)</w:t>
            </w:r>
          </w:p>
        </w:tc>
        <w:tc>
          <w:tcPr>
            <w:tcW w:w="600" w:type="dxa"/>
            <w:vAlign w:val="bottom"/>
          </w:tcPr>
          <w:p>
            <w:pPr>
              <w:spacing w:after="0"/>
              <w:rPr>
                <w:sz w:val="13"/>
                <w:szCs w:val="13"/>
                <w:color w:val="auto"/>
              </w:rPr>
            </w:pPr>
          </w:p>
        </w:tc>
        <w:tc>
          <w:tcPr>
            <w:tcW w:w="3380" w:type="dxa"/>
            <w:vAlign w:val="bottom"/>
            <w:gridSpan w:val="7"/>
          </w:tcPr>
          <w:p>
            <w:pPr>
              <w:ind w:left="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HOUSTON</w:t>
            </w:r>
          </w:p>
        </w:tc>
        <w:tc>
          <w:tcPr>
            <w:tcW w:w="106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77079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6"/>
          </w:tcPr>
          <w:p>
            <w:pPr>
              <w:ind w:left="5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20" w:type="dxa"/>
            <w:vAlign w:val="bottom"/>
            <w:gridSpan w:val="6"/>
          </w:tcPr>
          <w:p>
            <w:pPr>
              <w:ind w:left="52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Arial" w:cs="Arial" w:eastAsia="Arial" w:hAnsi="Arial"/>
                <w:sz w:val="12"/>
                <w:szCs w:val="12"/>
                <w:color w:val="auto"/>
              </w:rPr>
              <w:t>(State)</w:t>
            </w:r>
          </w:p>
        </w:tc>
        <w:tc>
          <w:tcPr>
            <w:tcW w:w="980" w:type="dxa"/>
            <w:vAlign w:val="bottom"/>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520" w:type="dxa"/>
            <w:vAlign w:val="bottom"/>
            <w:tcBorders>
              <w:bottom w:val="single" w:sz="8" w:color="2C2C2C"/>
            </w:tcBorders>
            <w:gridSpan w:val="3"/>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gridSpan w:val="8"/>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060" w:type="dxa"/>
            <w:vAlign w:val="bottom"/>
            <w:tcBorders>
              <w:top w:val="single" w:sz="8" w:color="2C2C2C"/>
            </w:tcBorders>
            <w:gridSpan w:val="17"/>
          </w:tcPr>
          <w:p>
            <w:pPr>
              <w:ind w:left="1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3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00" w:type="dxa"/>
            <w:vAlign w:val="bottom"/>
            <w:gridSpan w:val="3"/>
          </w:tcPr>
          <w:p>
            <w:pPr>
              <w:ind w:left="660"/>
              <w:spacing w:after="0"/>
              <w:rPr>
                <w:sz w:val="20"/>
                <w:szCs w:val="20"/>
                <w:color w:val="auto"/>
              </w:rPr>
            </w:pPr>
            <w:r>
              <w:rPr>
                <w:rFonts w:ascii="Arial" w:cs="Arial" w:eastAsia="Arial" w:hAnsi="Arial"/>
                <w:sz w:val="11"/>
                <w:szCs w:val="11"/>
                <w:b w:val="1"/>
                <w:bCs w:val="1"/>
                <w:color w:val="auto"/>
              </w:rPr>
              <w:t>2. Transaction</w:t>
            </w:r>
          </w:p>
        </w:tc>
        <w:tc>
          <w:tcPr>
            <w:tcW w:w="160" w:type="dxa"/>
            <w:vAlign w:val="bottom"/>
          </w:tcPr>
          <w:p>
            <w:pPr>
              <w:spacing w:after="0"/>
              <w:rPr>
                <w:sz w:val="13"/>
                <w:szCs w:val="13"/>
                <w:color w:val="auto"/>
              </w:rPr>
            </w:pPr>
          </w:p>
        </w:tc>
        <w:tc>
          <w:tcPr>
            <w:tcW w:w="1000" w:type="dxa"/>
            <w:vAlign w:val="bottom"/>
            <w:gridSpan w:val="5"/>
          </w:tcPr>
          <w:p>
            <w:pPr>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w w:val="98"/>
              </w:rPr>
              <w:t>5. Amount of</w:t>
            </w:r>
          </w:p>
        </w:tc>
        <w:tc>
          <w:tcPr>
            <w:tcW w:w="124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40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ind w:left="660"/>
              <w:spacing w:after="0" w:line="119"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5"/>
          </w:tcPr>
          <w:p>
            <w:pPr>
              <w:spacing w:after="0" w:line="119"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80" w:type="dxa"/>
            <w:vAlign w:val="bottom"/>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420"/>
              <w:spacing w:after="0" w:line="119" w:lineRule="exact"/>
              <w:rPr>
                <w:sz w:val="20"/>
                <w:szCs w:val="20"/>
                <w:color w:val="auto"/>
              </w:rPr>
            </w:pPr>
            <w:r>
              <w:rPr>
                <w:rFonts w:ascii="Arial" w:cs="Arial" w:eastAsia="Arial" w:hAnsi="Arial"/>
                <w:sz w:val="11"/>
                <w:szCs w:val="11"/>
                <w:b w:val="1"/>
                <w:bCs w:val="1"/>
                <w:color w:val="auto"/>
              </w:rPr>
              <w:t>Form: Direct</w:t>
            </w:r>
          </w:p>
        </w:tc>
        <w:tc>
          <w:tcPr>
            <w:tcW w:w="140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60" w:type="dxa"/>
            <w:vAlign w:val="bottom"/>
            <w:gridSpan w:val="4"/>
          </w:tcPr>
          <w:p>
            <w:pPr>
              <w:ind w:left="66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5"/>
          </w:tcPr>
          <w:p>
            <w:pPr>
              <w:spacing w:after="0" w:line="119"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  (D) or Indirect</w:t>
            </w:r>
          </w:p>
        </w:tc>
        <w:tc>
          <w:tcPr>
            <w:tcW w:w="140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5"/>
          </w:tcPr>
          <w:p>
            <w:pPr>
              <w:spacing w:after="0" w:line="119"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19"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19" w:lineRule="exact"/>
              <w:rPr>
                <w:sz w:val="20"/>
                <w:szCs w:val="20"/>
                <w:color w:val="auto"/>
              </w:rPr>
            </w:pPr>
            <w:r>
              <w:rPr>
                <w:rFonts w:ascii="Arial" w:cs="Arial" w:eastAsia="Arial" w:hAnsi="Arial"/>
                <w:sz w:val="11"/>
                <w:szCs w:val="11"/>
                <w:b w:val="1"/>
                <w:bCs w:val="1"/>
                <w:color w:val="auto"/>
              </w:rPr>
              <w:t>Following</w:t>
            </w:r>
          </w:p>
        </w:tc>
        <w:tc>
          <w:tcPr>
            <w:tcW w:w="1240" w:type="dxa"/>
            <w:vAlign w:val="bottom"/>
            <w:gridSpan w:val="2"/>
          </w:tcPr>
          <w:p>
            <w:pPr>
              <w:ind w:left="420"/>
              <w:spacing w:after="0" w:line="119" w:lineRule="exact"/>
              <w:rPr>
                <w:sz w:val="20"/>
                <w:szCs w:val="20"/>
                <w:color w:val="auto"/>
              </w:rPr>
            </w:pPr>
            <w:r>
              <w:rPr>
                <w:rFonts w:ascii="Arial" w:cs="Arial" w:eastAsia="Arial" w:hAnsi="Arial"/>
                <w:sz w:val="11"/>
                <w:szCs w:val="11"/>
                <w:b w:val="1"/>
                <w:bCs w:val="1"/>
                <w:color w:val="auto"/>
              </w:rPr>
              <w:t>(I) (Instr. 4)</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vMerge w:val="restart"/>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w:t>
            </w:r>
          </w:p>
        </w:tc>
        <w:tc>
          <w:tcPr>
            <w:tcW w:w="500" w:type="dxa"/>
            <w:vAlign w:val="bottom"/>
            <w:vMerge w:val="restart"/>
          </w:tcPr>
          <w:p>
            <w:pPr>
              <w:jc w:val="right"/>
              <w:ind w:right="169"/>
              <w:spacing w:after="0"/>
              <w:rPr>
                <w:sz w:val="20"/>
                <w:szCs w:val="20"/>
                <w:color w:val="auto"/>
              </w:rPr>
            </w:pPr>
            <w:r>
              <w:rPr>
                <w:rFonts w:ascii="Arial" w:cs="Arial" w:eastAsia="Arial" w:hAnsi="Arial"/>
                <w:sz w:val="11"/>
                <w:szCs w:val="11"/>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Baker Hughes</w:t>
            </w:r>
          </w:p>
        </w:tc>
        <w:tc>
          <w:tcPr>
            <w:tcW w:w="0" w:type="dxa"/>
            <w:vAlign w:val="bottom"/>
          </w:tcPr>
          <w:p>
            <w:pPr>
              <w:spacing w:after="0"/>
              <w:rPr>
                <w:sz w:val="1"/>
                <w:szCs w:val="1"/>
                <w:color w:val="auto"/>
              </w:rPr>
            </w:pPr>
          </w:p>
        </w:tc>
      </w:tr>
      <w:tr>
        <w:trPr>
          <w:trHeight w:val="213"/>
        </w:trPr>
        <w:tc>
          <w:tcPr>
            <w:tcW w:w="2380" w:type="dxa"/>
            <w:vAlign w:val="bottom"/>
            <w:gridSpan w:val="7"/>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p>
        </w:tc>
        <w:tc>
          <w:tcPr>
            <w:tcW w:w="1500" w:type="dxa"/>
            <w:vAlign w:val="bottom"/>
            <w:gridSpan w:val="3"/>
          </w:tcPr>
          <w:p>
            <w:pPr>
              <w:ind w:left="760"/>
              <w:spacing w:after="0"/>
              <w:rPr>
                <w:sz w:val="20"/>
                <w:szCs w:val="20"/>
                <w:color w:val="auto"/>
              </w:rPr>
            </w:pPr>
            <w:r>
              <w:rPr>
                <w:rFonts w:ascii="Times New Roman" w:cs="Times New Roman" w:eastAsia="Times New Roman" w:hAnsi="Times New Roman"/>
                <w:sz w:val="15"/>
                <w:szCs w:val="15"/>
                <w:color w:val="0000FF"/>
              </w:rPr>
              <w:t>04/30/2026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(1)(2)(4)</w:t>
            </w:r>
          </w:p>
        </w:tc>
        <w:tc>
          <w:tcPr>
            <w:tcW w:w="7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0000FF"/>
              </w:rPr>
              <w:t>342,922</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00" w:type="dxa"/>
            <w:vAlign w:val="bottom"/>
          </w:tcPr>
          <w:p>
            <w:pPr>
              <w:ind w:left="12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0.00</w:t>
            </w:r>
          </w:p>
        </w:tc>
        <w:tc>
          <w:tcPr>
            <w:tcW w:w="1500" w:type="dxa"/>
            <w:vAlign w:val="bottom"/>
            <w:gridSpan w:val="3"/>
          </w:tcPr>
          <w:p>
            <w:pPr>
              <w:jc w:val="right"/>
              <w:ind w:right="546"/>
              <w:spacing w:after="0"/>
              <w:rPr>
                <w:sz w:val="20"/>
                <w:szCs w:val="20"/>
                <w:color w:val="auto"/>
              </w:rPr>
            </w:pPr>
            <w:r>
              <w:rPr>
                <w:rFonts w:ascii="Times New Roman" w:cs="Times New Roman" w:eastAsia="Times New Roman" w:hAnsi="Times New Roman"/>
                <w:sz w:val="15"/>
                <w:szCs w:val="15"/>
                <w:color w:val="0000FF"/>
              </w:rPr>
              <w:t>15,945,826</w:t>
            </w: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Holdings LLC</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ind w:left="80"/>
              <w:spacing w:after="0" w:line="163" w:lineRule="exact"/>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8"/>
                <w:szCs w:val="18"/>
                <w:color w:val="008000"/>
                <w:vertAlign w:val="superscript"/>
              </w:rPr>
              <w:t>(1)(2)</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gridSpan w:val="5"/>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gridSpan w:val="8"/>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60" w:type="dxa"/>
            <w:vAlign w:val="bottom"/>
            <w:gridSpan w:val="17"/>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4"/>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5"/>
          </w:tcPr>
          <w:p>
            <w:pPr>
              <w:ind w:left="100"/>
              <w:spacing w:after="0"/>
              <w:rPr>
                <w:sz w:val="20"/>
                <w:szCs w:val="20"/>
                <w:color w:val="auto"/>
              </w:rPr>
            </w:pPr>
            <w:r>
              <w:rPr>
                <w:rFonts w:ascii="Arial" w:cs="Arial" w:eastAsia="Arial" w:hAnsi="Arial"/>
                <w:sz w:val="11"/>
                <w:szCs w:val="11"/>
                <w:b w:val="1"/>
                <w:bCs w:val="1"/>
                <w:color w:val="auto"/>
              </w:rPr>
              <w:t>5. Number of</w:t>
            </w:r>
          </w:p>
        </w:tc>
        <w:tc>
          <w:tcPr>
            <w:tcW w:w="16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0" w:type="dxa"/>
            <w:vAlign w:val="bottom"/>
            <w:tcBorders>
              <w:right w:val="single" w:sz="8" w:color="2C2C2C"/>
            </w:tcBorders>
            <w:gridSpan w:val="3"/>
          </w:tcPr>
          <w:p>
            <w:pPr>
              <w:ind w:left="3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Conversion</w:t>
            </w:r>
          </w:p>
        </w:tc>
        <w:tc>
          <w:tcPr>
            <w:tcW w:w="10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w w:val="96"/>
              </w:rPr>
              <w:t>Transaction</w:t>
            </w:r>
          </w:p>
        </w:tc>
        <w:tc>
          <w:tcPr>
            <w:tcW w:w="1000" w:type="dxa"/>
            <w:vAlign w:val="bottom"/>
            <w:gridSpan w:val="5"/>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Expiration Date</w:t>
            </w:r>
          </w:p>
        </w:tc>
        <w:tc>
          <w:tcPr>
            <w:tcW w:w="11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88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Ownership  Indirect Beneficial</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w w:val="98"/>
              </w:rPr>
              <w:t>Code (Instr.</w:t>
            </w:r>
          </w:p>
        </w:tc>
        <w:tc>
          <w:tcPr>
            <w:tcW w:w="1160" w:type="dxa"/>
            <w:vAlign w:val="bottom"/>
            <w:gridSpan w:val="6"/>
          </w:tcPr>
          <w:p>
            <w:pPr>
              <w:ind w:left="100"/>
              <w:spacing w:after="0" w:line="119" w:lineRule="exact"/>
              <w:rPr>
                <w:sz w:val="20"/>
                <w:szCs w:val="20"/>
                <w:color w:val="auto"/>
              </w:rPr>
            </w:pPr>
            <w:r>
              <w:rPr>
                <w:rFonts w:ascii="Arial" w:cs="Arial" w:eastAsia="Arial" w:hAnsi="Arial"/>
                <w:sz w:val="11"/>
                <w:szCs w:val="11"/>
                <w:b w:val="1"/>
                <w:bCs w:val="1"/>
                <w:color w:val="auto"/>
              </w:rPr>
              <w:t>Securities Acquired</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400" w:type="dxa"/>
            <w:vAlign w:val="bottom"/>
            <w:tcBorders>
              <w:right w:val="single" w:sz="8" w:color="2C2C2C"/>
            </w:tcBorders>
            <w:gridSpan w:val="3"/>
          </w:tcPr>
          <w:p>
            <w:pPr>
              <w:ind w:left="300"/>
              <w:spacing w:after="0" w:line="119"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9"/>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6"/>
          </w:tcPr>
          <w:p>
            <w:pPr>
              <w:ind w:left="100"/>
              <w:spacing w:after="0" w:line="119" w:lineRule="exact"/>
              <w:rPr>
                <w:sz w:val="20"/>
                <w:szCs w:val="20"/>
                <w:color w:val="auto"/>
              </w:rPr>
            </w:pPr>
            <w:r>
              <w:rPr>
                <w:rFonts w:ascii="Arial" w:cs="Arial" w:eastAsia="Arial" w:hAnsi="Arial"/>
                <w:sz w:val="11"/>
                <w:szCs w:val="11"/>
                <w:b w:val="1"/>
                <w:bCs w:val="1"/>
                <w:color w:val="auto"/>
              </w:rPr>
              <w:t>(A) or Disposed of</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188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Direct (D)</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5"/>
          </w:tcPr>
          <w:p>
            <w:pPr>
              <w:ind w:left="100"/>
              <w:spacing w:after="0" w:line="119" w:lineRule="exact"/>
              <w:rPr>
                <w:sz w:val="20"/>
                <w:szCs w:val="20"/>
                <w:color w:val="auto"/>
              </w:rPr>
            </w:pPr>
            <w:r>
              <w:rPr>
                <w:rFonts w:ascii="Arial" w:cs="Arial" w:eastAsia="Arial" w:hAnsi="Arial"/>
                <w:sz w:val="11"/>
                <w:szCs w:val="11"/>
                <w:b w:val="1"/>
                <w:bCs w:val="1"/>
                <w:color w:val="auto"/>
                <w:w w:val="94"/>
              </w:rPr>
              <w:t>(D) (Instr. 3, 4 and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188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188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restart"/>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4"/>
              </w:rPr>
              <w:t>Transaction(s)</w:t>
            </w: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left="25"/>
              <w:spacing w:after="0" w:line="119" w:lineRule="exact"/>
              <w:rPr>
                <w:sz w:val="20"/>
                <w:szCs w:val="20"/>
                <w:color w:val="auto"/>
              </w:rPr>
            </w:pPr>
            <w:r>
              <w:rPr>
                <w:rFonts w:ascii="Arial" w:cs="Arial" w:eastAsia="Arial" w:hAnsi="Arial"/>
                <w:sz w:val="11"/>
                <w:szCs w:val="11"/>
                <w:b w:val="1"/>
                <w:bCs w:val="1"/>
                <w:color w:val="auto"/>
                <w:w w:val="96"/>
              </w:rPr>
              <w:t>Expiration</w:t>
            </w:r>
          </w:p>
        </w:tc>
        <w:tc>
          <w:tcPr>
            <w:tcW w:w="520" w:type="dxa"/>
            <w:vAlign w:val="bottom"/>
          </w:tcPr>
          <w:p>
            <w:pPr>
              <w:spacing w:after="0"/>
              <w:rPr>
                <w:sz w:val="10"/>
                <w:szCs w:val="10"/>
                <w:color w:val="auto"/>
              </w:rPr>
            </w:pPr>
          </w:p>
        </w:tc>
        <w:tc>
          <w:tcPr>
            <w:tcW w:w="6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1000" w:type="dxa"/>
            <w:vAlign w:val="bottom"/>
            <w:gridSpan w:val="5"/>
          </w:tcPr>
          <w:p>
            <w:pPr>
              <w:ind w:left="100"/>
              <w:spacing w:after="0"/>
              <w:rPr>
                <w:sz w:val="20"/>
                <w:szCs w:val="20"/>
                <w:color w:val="auto"/>
              </w:rPr>
            </w:pPr>
            <w:r>
              <w:rPr>
                <w:rFonts w:ascii="Arial" w:cs="Arial" w:eastAsia="Arial" w:hAnsi="Arial"/>
                <w:sz w:val="11"/>
                <w:szCs w:val="11"/>
                <w:b w:val="1"/>
                <w:bCs w:val="1"/>
                <w:color w:val="auto"/>
              </w:rPr>
              <w:t>(A)  (D)</w:t>
            </w:r>
          </w:p>
        </w:tc>
        <w:tc>
          <w:tcPr>
            <w:tcW w:w="160" w:type="dxa"/>
            <w:vAlign w:val="bottom"/>
          </w:tcPr>
          <w:p>
            <w:pPr>
              <w:spacing w:after="0"/>
              <w:rPr>
                <w:sz w:val="12"/>
                <w:szCs w:val="12"/>
                <w:color w:val="auto"/>
              </w:rPr>
            </w:pP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w w:val="91"/>
              </w:rPr>
              <w:t>Exercisable</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w w:val="99"/>
              </w:rPr>
              <w:t>of Shares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B.V. Non-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Borders>
              <w:right w:val="single" w:sz="8" w:color="2C2C2C"/>
            </w:tcBorders>
            <w:gridSpan w:val="3"/>
            <w:vMerge w:val="restart"/>
          </w:tcPr>
          <w:p>
            <w:pPr>
              <w:ind w:left="300"/>
              <w:spacing w:after="0"/>
              <w:rPr>
                <w:sz w:val="20"/>
                <w:szCs w:val="20"/>
                <w:color w:val="auto"/>
              </w:rPr>
            </w:pPr>
            <w:r>
              <w:rPr>
                <w:rFonts w:ascii="Times New Roman" w:cs="Times New Roman" w:eastAsia="Times New Roman" w:hAnsi="Times New Roman"/>
                <w:sz w:val="12"/>
                <w:szCs w:val="12"/>
                <w:color w:val="0000FF"/>
              </w:rPr>
              <w:t>Baker Hughes</w:t>
            </w:r>
          </w:p>
        </w:tc>
        <w:tc>
          <w:tcPr>
            <w:tcW w:w="0" w:type="dxa"/>
            <w:vAlign w:val="bottom"/>
          </w:tcPr>
          <w:p>
            <w:pPr>
              <w:spacing w:after="0"/>
              <w:rPr>
                <w:sz w:val="1"/>
                <w:szCs w:val="1"/>
                <w:color w:val="auto"/>
              </w:rPr>
            </w:pPr>
          </w:p>
        </w:tc>
      </w:tr>
      <w:tr>
        <w:trPr>
          <w:trHeight w:val="48"/>
        </w:trPr>
        <w:tc>
          <w:tcPr>
            <w:tcW w:w="640" w:type="dxa"/>
            <w:vAlign w:val="bottom"/>
            <w:gridSpan w:val="3"/>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Voting</w:t>
            </w: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21"/>
                <w:szCs w:val="21"/>
                <w:color w:val="0000FF"/>
                <w:vertAlign w:val="subscript"/>
              </w:rPr>
              <w:t>J</w:t>
            </w:r>
            <w:r>
              <w:rPr>
                <w:rFonts w:ascii="Times New Roman" w:cs="Times New Roman" w:eastAsia="Times New Roman" w:hAnsi="Times New Roman"/>
                <w:sz w:val="9"/>
                <w:szCs w:val="9"/>
                <w:color w:val="008000"/>
              </w:rPr>
              <w:t>(1)(2)(4)</w:t>
            </w:r>
          </w:p>
        </w:tc>
        <w:tc>
          <w:tcPr>
            <w:tcW w:w="160" w:type="dxa"/>
            <w:vAlign w:val="bottom"/>
          </w:tcPr>
          <w:p>
            <w:pPr>
              <w:spacing w:after="0"/>
              <w:rPr>
                <w:sz w:val="4"/>
                <w:szCs w:val="4"/>
                <w:color w:val="auto"/>
              </w:rPr>
            </w:pPr>
          </w:p>
        </w:tc>
        <w:tc>
          <w:tcPr>
            <w:tcW w:w="1160" w:type="dxa"/>
            <w:vAlign w:val="bottom"/>
            <w:gridSpan w:val="6"/>
            <w:vMerge w:val="restart"/>
          </w:tcPr>
          <w:p>
            <w:pPr>
              <w:ind w:left="380"/>
              <w:spacing w:after="0" w:line="189" w:lineRule="exact"/>
              <w:rPr>
                <w:sz w:val="20"/>
                <w:szCs w:val="20"/>
                <w:color w:val="auto"/>
              </w:rPr>
            </w:pPr>
            <w:r>
              <w:rPr>
                <w:rFonts w:ascii="Times New Roman" w:cs="Times New Roman" w:eastAsia="Times New Roman" w:hAnsi="Times New Roman"/>
                <w:sz w:val="21"/>
                <w:szCs w:val="21"/>
                <w:color w:val="0000FF"/>
                <w:w w:val="98"/>
                <w:vertAlign w:val="subscript"/>
              </w:rPr>
              <w:t>342,922</w:t>
            </w:r>
            <w:r>
              <w:rPr>
                <w:rFonts w:ascii="Times New Roman" w:cs="Times New Roman" w:eastAsia="Times New Roman" w:hAnsi="Times New Roman"/>
                <w:sz w:val="9"/>
                <w:szCs w:val="9"/>
                <w:color w:val="008000"/>
                <w:w w:val="98"/>
              </w:rPr>
              <w:t>(1)(2)(4)</w:t>
            </w: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342,922</w:t>
            </w: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(1)(2)(4)</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0000FF"/>
              </w:rPr>
              <w:t>04/30/2026</w:t>
            </w: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jc w:val="right"/>
              <w:ind w:right="69"/>
              <w:spacing w:after="0"/>
              <w:rPr>
                <w:sz w:val="20"/>
                <w:szCs w:val="20"/>
                <w:color w:val="auto"/>
              </w:rPr>
            </w:pPr>
            <w:r>
              <w:rPr>
                <w:rFonts w:ascii="Times New Roman" w:cs="Times New Roman" w:eastAsia="Times New Roman" w:hAnsi="Times New Roman"/>
                <w:sz w:val="10"/>
                <w:szCs w:val="10"/>
                <w:color w:val="008000"/>
              </w:rPr>
              <w:t>(1)(2)(4)</w:t>
            </w: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(1)(2)(4)</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7"/>
                <w:szCs w:val="7"/>
                <w:color w:val="auto"/>
              </w:rPr>
            </w:pPr>
          </w:p>
        </w:tc>
        <w:tc>
          <w:tcPr>
            <w:tcW w:w="740" w:type="dxa"/>
            <w:vAlign w:val="bottom"/>
            <w:gridSpan w:val="2"/>
            <w:vMerge w:val="restart"/>
          </w:tcPr>
          <w:p>
            <w:pPr>
              <w:jc w:val="center"/>
              <w:ind w:right="1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8.087</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15,945,826</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400" w:type="dxa"/>
            <w:vAlign w:val="bottom"/>
            <w:tcBorders>
              <w:right w:val="single" w:sz="8" w:color="2C2C2C"/>
            </w:tcBorders>
            <w:gridSpan w:val="3"/>
            <w:vMerge w:val="restart"/>
          </w:tcPr>
          <w:p>
            <w:pPr>
              <w:ind w:left="300"/>
              <w:spacing w:after="0"/>
              <w:rPr>
                <w:sz w:val="20"/>
                <w:szCs w:val="20"/>
                <w:color w:val="auto"/>
              </w:rPr>
            </w:pPr>
            <w:r>
              <w:rPr>
                <w:rFonts w:ascii="Times New Roman" w:cs="Times New Roman" w:eastAsia="Times New Roman" w:hAnsi="Times New Roman"/>
                <w:sz w:val="12"/>
                <w:szCs w:val="12"/>
                <w:color w:val="0000FF"/>
              </w:rPr>
              <w:t>Holdings LLC See</w:t>
            </w: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4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4"/>
              </w:rPr>
              <w:t>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Borders>
              <w:right w:val="single" w:sz="8" w:color="2C2C2C"/>
            </w:tcBorders>
            <w:gridSpan w:val="3"/>
          </w:tcPr>
          <w:p>
            <w:pPr>
              <w:ind w:left="300"/>
              <w:spacing w:after="0" w:line="131" w:lineRule="exact"/>
              <w:rPr>
                <w:sz w:val="20"/>
                <w:szCs w:val="20"/>
                <w:color w:val="auto"/>
              </w:rPr>
            </w:pPr>
            <w:r>
              <w:rPr>
                <w:rFonts w:ascii="Times New Roman" w:cs="Times New Roman" w:eastAsia="Times New Roman" w:hAnsi="Times New Roman"/>
                <w:sz w:val="15"/>
                <w:szCs w:val="15"/>
                <w:color w:val="0000FF"/>
                <w:vertAlign w:val="subscript"/>
              </w:rPr>
              <w:t>footnotes</w:t>
            </w:r>
            <w:r>
              <w:rPr>
                <w:rFonts w:ascii="Times New Roman" w:cs="Times New Roman" w:eastAsia="Times New Roman" w:hAnsi="Times New Roman"/>
                <w:sz w:val="8"/>
                <w:szCs w:val="8"/>
                <w:color w:val="008000"/>
              </w:rPr>
              <w:t>(1)(2)(3)(4)(5)</w:t>
            </w:r>
          </w:p>
        </w:tc>
        <w:tc>
          <w:tcPr>
            <w:tcW w:w="0" w:type="dxa"/>
            <w:vAlign w:val="bottom"/>
          </w:tcPr>
          <w:p>
            <w:pPr>
              <w:spacing w:after="0"/>
              <w:rPr>
                <w:sz w:val="1"/>
                <w:szCs w:val="1"/>
                <w:color w:val="auto"/>
              </w:rPr>
            </w:pPr>
          </w:p>
        </w:tc>
      </w:tr>
      <w:tr>
        <w:trPr>
          <w:trHeight w:val="134"/>
        </w:trPr>
        <w:tc>
          <w:tcPr>
            <w:tcW w:w="640" w:type="dxa"/>
            <w:vAlign w:val="bottom"/>
            <w:tcBorders>
              <w:bottom w:val="single" w:sz="8" w:color="2C2C2C"/>
            </w:tcBorders>
            <w:gridSpan w:val="3"/>
          </w:tcPr>
          <w:p>
            <w:pPr>
              <w:ind w:left="60"/>
              <w:spacing w:after="0" w:line="131" w:lineRule="exact"/>
              <w:rPr>
                <w:sz w:val="20"/>
                <w:szCs w:val="20"/>
                <w:color w:val="auto"/>
              </w:rPr>
            </w:pPr>
            <w:r>
              <w:rPr>
                <w:rFonts w:ascii="Times New Roman" w:cs="Times New Roman" w:eastAsia="Times New Roman" w:hAnsi="Times New Roman"/>
                <w:sz w:val="12"/>
                <w:szCs w:val="12"/>
                <w:color w:val="0000FF"/>
              </w:rPr>
              <w:t>Shares</w:t>
            </w: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B.V. Non-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Borders>
              <w:right w:val="single" w:sz="8" w:color="2C2C2C"/>
            </w:tcBorders>
            <w:gridSpan w:val="3"/>
            <w:vMerge w:val="restart"/>
          </w:tcPr>
          <w:p>
            <w:pPr>
              <w:ind w:left="300"/>
              <w:spacing w:after="0"/>
              <w:rPr>
                <w:sz w:val="20"/>
                <w:szCs w:val="20"/>
                <w:color w:val="auto"/>
              </w:rPr>
            </w:pPr>
            <w:r>
              <w:rPr>
                <w:rFonts w:ascii="Times New Roman" w:cs="Times New Roman" w:eastAsia="Times New Roman" w:hAnsi="Times New Roman"/>
                <w:sz w:val="12"/>
                <w:szCs w:val="12"/>
                <w:color w:val="0000FF"/>
              </w:rPr>
              <w:t>Baker Hughes</w:t>
            </w:r>
          </w:p>
        </w:tc>
        <w:tc>
          <w:tcPr>
            <w:tcW w:w="0" w:type="dxa"/>
            <w:vAlign w:val="bottom"/>
          </w:tcPr>
          <w:p>
            <w:pPr>
              <w:spacing w:after="0"/>
              <w:rPr>
                <w:sz w:val="1"/>
                <w:szCs w:val="1"/>
                <w:color w:val="auto"/>
              </w:rPr>
            </w:pPr>
          </w:p>
        </w:tc>
      </w:tr>
      <w:tr>
        <w:trPr>
          <w:trHeight w:val="48"/>
        </w:trPr>
        <w:tc>
          <w:tcPr>
            <w:tcW w:w="640" w:type="dxa"/>
            <w:vAlign w:val="bottom"/>
            <w:gridSpan w:val="3"/>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Voting</w:t>
            </w: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21"/>
                <w:szCs w:val="21"/>
                <w:color w:val="0000FF"/>
                <w:vertAlign w:val="subscript"/>
              </w:rPr>
              <w:t>J</w:t>
            </w:r>
            <w:r>
              <w:rPr>
                <w:rFonts w:ascii="Times New Roman" w:cs="Times New Roman" w:eastAsia="Times New Roman" w:hAnsi="Times New Roman"/>
                <w:sz w:val="9"/>
                <w:szCs w:val="9"/>
                <w:color w:val="008000"/>
              </w:rPr>
              <w:t>(1)(2)(4)</w:t>
            </w:r>
          </w:p>
        </w:tc>
        <w:tc>
          <w:tcPr>
            <w:tcW w:w="160" w:type="dxa"/>
            <w:vAlign w:val="bottom"/>
          </w:tcPr>
          <w:p>
            <w:pPr>
              <w:spacing w:after="0"/>
              <w:rPr>
                <w:sz w:val="4"/>
                <w:szCs w:val="4"/>
                <w:color w:val="auto"/>
              </w:rPr>
            </w:pPr>
          </w:p>
        </w:tc>
        <w:tc>
          <w:tcPr>
            <w:tcW w:w="1160" w:type="dxa"/>
            <w:vAlign w:val="bottom"/>
            <w:gridSpan w:val="6"/>
            <w:vMerge w:val="restart"/>
          </w:tcPr>
          <w:p>
            <w:pPr>
              <w:ind w:left="380"/>
              <w:spacing w:after="0" w:line="189" w:lineRule="exact"/>
              <w:rPr>
                <w:sz w:val="20"/>
                <w:szCs w:val="20"/>
                <w:color w:val="auto"/>
              </w:rPr>
            </w:pPr>
            <w:r>
              <w:rPr>
                <w:rFonts w:ascii="Times New Roman" w:cs="Times New Roman" w:eastAsia="Times New Roman" w:hAnsi="Times New Roman"/>
                <w:sz w:val="21"/>
                <w:szCs w:val="21"/>
                <w:color w:val="0000FF"/>
                <w:w w:val="98"/>
                <w:vertAlign w:val="subscript"/>
              </w:rPr>
              <w:t>342,922</w:t>
            </w:r>
            <w:r>
              <w:rPr>
                <w:rFonts w:ascii="Times New Roman" w:cs="Times New Roman" w:eastAsia="Times New Roman" w:hAnsi="Times New Roman"/>
                <w:sz w:val="9"/>
                <w:szCs w:val="9"/>
                <w:color w:val="008000"/>
                <w:w w:val="98"/>
              </w:rPr>
              <w:t>(1)(2)(4)</w:t>
            </w: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342,922</w:t>
            </w: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640" w:type="dxa"/>
            <w:vAlign w:val="bottom"/>
            <w:gridSpan w:val="3"/>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(1)(2)(4)</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0000FF"/>
              </w:rPr>
              <w:t>04/30/2026</w:t>
            </w: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jc w:val="right"/>
              <w:ind w:right="69"/>
              <w:spacing w:after="0"/>
              <w:rPr>
                <w:sz w:val="20"/>
                <w:szCs w:val="20"/>
                <w:color w:val="auto"/>
              </w:rPr>
            </w:pPr>
            <w:r>
              <w:rPr>
                <w:rFonts w:ascii="Times New Roman" w:cs="Times New Roman" w:eastAsia="Times New Roman" w:hAnsi="Times New Roman"/>
                <w:sz w:val="10"/>
                <w:szCs w:val="10"/>
                <w:color w:val="008000"/>
              </w:rPr>
              <w:t>(1)(2)(4)</w:t>
            </w: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(1)(2)(4)</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7"/>
                <w:szCs w:val="7"/>
                <w:color w:val="auto"/>
              </w:rPr>
            </w:pPr>
          </w:p>
        </w:tc>
        <w:tc>
          <w:tcPr>
            <w:tcW w:w="740" w:type="dxa"/>
            <w:vAlign w:val="bottom"/>
            <w:gridSpan w:val="2"/>
            <w:vMerge w:val="restart"/>
          </w:tcPr>
          <w:p>
            <w:pPr>
              <w:jc w:val="center"/>
              <w:ind w:right="10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10.713</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15,945,826</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400" w:type="dxa"/>
            <w:vAlign w:val="bottom"/>
            <w:tcBorders>
              <w:right w:val="single" w:sz="8" w:color="2C2C2C"/>
            </w:tcBorders>
            <w:gridSpan w:val="3"/>
            <w:vMerge w:val="restart"/>
          </w:tcPr>
          <w:p>
            <w:pPr>
              <w:ind w:left="300"/>
              <w:spacing w:after="0"/>
              <w:rPr>
                <w:sz w:val="20"/>
                <w:szCs w:val="20"/>
                <w:color w:val="auto"/>
              </w:rPr>
            </w:pPr>
            <w:r>
              <w:rPr>
                <w:rFonts w:ascii="Times New Roman" w:cs="Times New Roman" w:eastAsia="Times New Roman" w:hAnsi="Times New Roman"/>
                <w:sz w:val="12"/>
                <w:szCs w:val="12"/>
                <w:color w:val="0000FF"/>
              </w:rPr>
              <w:t>Holdings LLC See</w:t>
            </w: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8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4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4"/>
              </w:rPr>
              <w:t>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Borders>
              <w:right w:val="single" w:sz="8" w:color="2C2C2C"/>
            </w:tcBorders>
            <w:gridSpan w:val="3"/>
          </w:tcPr>
          <w:p>
            <w:pPr>
              <w:ind w:left="300"/>
              <w:spacing w:after="0" w:line="131" w:lineRule="exact"/>
              <w:rPr>
                <w:sz w:val="20"/>
                <w:szCs w:val="20"/>
                <w:color w:val="auto"/>
              </w:rPr>
            </w:pPr>
            <w:r>
              <w:rPr>
                <w:rFonts w:ascii="Times New Roman" w:cs="Times New Roman" w:eastAsia="Times New Roman" w:hAnsi="Times New Roman"/>
                <w:sz w:val="15"/>
                <w:szCs w:val="15"/>
                <w:color w:val="0000FF"/>
                <w:vertAlign w:val="subscript"/>
              </w:rPr>
              <w:t>footnotes</w:t>
            </w:r>
            <w:r>
              <w:rPr>
                <w:rFonts w:ascii="Times New Roman" w:cs="Times New Roman" w:eastAsia="Times New Roman" w:hAnsi="Times New Roman"/>
                <w:sz w:val="8"/>
                <w:szCs w:val="8"/>
                <w:color w:val="008000"/>
              </w:rPr>
              <w:t>(1)(2)(3)(4)(5)</w:t>
            </w:r>
          </w:p>
        </w:tc>
        <w:tc>
          <w:tcPr>
            <w:tcW w:w="0" w:type="dxa"/>
            <w:vAlign w:val="bottom"/>
          </w:tcPr>
          <w:p>
            <w:pPr>
              <w:spacing w:after="0"/>
              <w:rPr>
                <w:sz w:val="1"/>
                <w:szCs w:val="1"/>
                <w:color w:val="auto"/>
              </w:rPr>
            </w:pPr>
          </w:p>
        </w:tc>
      </w:tr>
      <w:tr>
        <w:trPr>
          <w:trHeight w:val="174"/>
        </w:trPr>
        <w:tc>
          <w:tcPr>
            <w:tcW w:w="640" w:type="dxa"/>
            <w:vAlign w:val="bottom"/>
            <w:tcBorders>
              <w:bottom w:val="single" w:sz="8" w:color="2C2C2C"/>
            </w:tcBorders>
            <w:gridSpan w:val="3"/>
          </w:tcPr>
          <w:p>
            <w:pPr>
              <w:ind w:left="60"/>
              <w:spacing w:after="0" w:line="131" w:lineRule="exact"/>
              <w:rPr>
                <w:sz w:val="20"/>
                <w:szCs w:val="20"/>
                <w:color w:val="auto"/>
              </w:rPr>
            </w:pPr>
            <w:r>
              <w:rPr>
                <w:rFonts w:ascii="Times New Roman" w:cs="Times New Roman" w:eastAsia="Times New Roman" w:hAnsi="Times New Roman"/>
                <w:sz w:val="12"/>
                <w:szCs w:val="12"/>
                <w:color w:val="0000FF"/>
              </w:rPr>
              <w:t>Shares</w:t>
            </w:r>
          </w:p>
        </w:tc>
        <w:tc>
          <w:tcPr>
            <w:tcW w:w="6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380" w:type="dxa"/>
            <w:vAlign w:val="bottom"/>
            <w:tcBorders>
              <w:top w:val="single" w:sz="8" w:color="2C2C2C"/>
            </w:tcBorders>
            <w:gridSpan w:val="7"/>
          </w:tcPr>
          <w:p>
            <w:pPr>
              <w:ind w:left="60"/>
              <w:spacing w:after="0" w:line="208"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5"/>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Baker Hughes Co</w:t>
              </w:r>
            </w:hyperlink>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575 N. DAIRY</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ASHFORD RD, SUITE 100</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HOUSTON</w:t>
            </w: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77079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20" w:type="dxa"/>
            <w:vAlign w:val="bottom"/>
            <w:tcBorders>
              <w:bottom w:val="single" w:sz="8" w:color="2C2C2C"/>
            </w:tcBorders>
            <w:gridSpan w:val="2"/>
          </w:tcPr>
          <w:p>
            <w:pPr>
              <w:spacing w:after="0"/>
              <w:rPr>
                <w:sz w:val="6"/>
                <w:szCs w:val="6"/>
                <w:color w:val="auto"/>
              </w:rPr>
            </w:pPr>
          </w:p>
        </w:tc>
        <w:tc>
          <w:tcPr>
            <w:tcW w:w="1340" w:type="dxa"/>
            <w:vAlign w:val="bottom"/>
            <w:tcBorders>
              <w:bottom w:val="single" w:sz="8" w:color="2C2C2C"/>
            </w:tcBorders>
            <w:gridSpan w:val="3"/>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5"/>
          </w:tcPr>
          <w:p>
            <w:pPr>
              <w:spacing w:after="0" w:line="204"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Baker Hughes Holdings LLC</w:t>
              </w:r>
            </w:hyperlink>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575 N. DAIRY</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ASHFORD RD, SUITE 100</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HOUSTON</w:t>
            </w: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77079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-5181600</wp:posOffset>
            </wp:positionV>
            <wp:extent cx="27940" cy="2047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204724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jc w:val="both"/>
        <w:ind w:left="40" w:right="140" w:hanging="9"/>
        <w:spacing w:after="0" w:line="237"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30, 2026, the underwriters of the initial public offering ("IPO") of HMH Holding Inc. (the "Issuer") partially exercised their option to purchase (the "Over Allotment") additional shares of the Issuer's Class A Common Stock, par value $0.01 per share (the "Class A Common Stock"). In connection with the Over Allotment, the underwriters will purchase 685,844 shares of Class A Common Stock, and the transaction is anticipated to close on May 5, 2026. The Issuer will contribute the net proceeds from the Over Allotment, which will amount to $12,893,867.20, to HMH Holding B.V. ("HMH B.V."), and HMH B.V. will use such net proceeds to purchase in equal proportion from Baker Hughes (as defined below) and another stockholder of HMH B.V., respectively, an aggregate number of shares of Class B common stock of the Issuer (the "Issuer Class B Shares"),</w:t>
      </w:r>
    </w:p>
    <w:p>
      <w:pPr>
        <w:spacing w:after="0" w:line="25" w:lineRule="exact"/>
        <w:rPr>
          <w:rFonts w:ascii="Times New Roman" w:cs="Times New Roman" w:eastAsia="Times New Roman" w:hAnsi="Times New Roman"/>
          <w:sz w:val="12"/>
          <w:szCs w:val="12"/>
          <w:color w:val="008000"/>
        </w:rPr>
      </w:pPr>
    </w:p>
    <w:p>
      <w:pPr>
        <w:ind w:left="40" w:right="140" w:hanging="9"/>
        <w:spacing w:after="0" w:line="299" w:lineRule="auto"/>
        <w:tabs>
          <w:tab w:leader="none" w:pos="159"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(Continued from footnote 1) non-voting Class A ordinary shares in HMH B.V. (the "B.V. Non-Voting Class A Shares") and non-voting Class B shares in HMH B.V. (the "B.V. Non-Voting Class B Shares"), respectively, equal to the number of shares of Class A Common Stock to be purchased by the underwriters pursuant to the Over Allotment. With regards to Baker Hughes, HMH B.V. will purchase the following securities for a purchase price of</w:t>
      </w:r>
    </w:p>
    <w:p>
      <w:pPr>
        <w:sectPr>
          <w:pgSz w:w="11900" w:h="16874" w:orient="portrait"/>
          <w:cols w:equalWidth="0" w:num="1">
            <w:col w:w="11080"/>
          </w:cols>
          <w:pgMar w:left="460" w:top="210" w:right="359" w:bottom="0" w:gutter="0" w:footer="0" w:header="0"/>
          <w:type w:val="continuous"/>
        </w:sectPr>
      </w:pPr>
    </w:p>
    <w:bookmarkStart w:id="1" w:name="page2"/>
    <w:bookmarkEnd w:id="1"/>
    <w:p>
      <w:pPr>
        <w:ind w:left="9" w:right="420"/>
        <w:spacing w:after="0" w:line="254" w:lineRule="auto"/>
        <w:rPr>
          <w:sz w:val="20"/>
          <w:szCs w:val="20"/>
          <w:color w:val="auto"/>
        </w:rPr>
      </w:pPr>
      <w:r>
        <w:rPr>
          <w:rFonts w:ascii="Times New Roman" w:cs="Times New Roman" w:eastAsia="Times New Roman" w:hAnsi="Times New Roman"/>
          <w:sz w:val="12"/>
          <w:szCs w:val="12"/>
          <w:color w:val="008000"/>
        </w:rPr>
        <w:t>$6,446,933.60 to be paid to Baker Hughes: (i) 342,922 Issuer Class B Shares, (ii) 342,922 B.V. Non-Voting Class A Shares in exchange for $2,773,200.59 and (iii) 342,922 B.V. Non-Voting Class B Shares in exchange for $3,673,733.01.</w:t>
      </w:r>
    </w:p>
    <w:p>
      <w:pPr>
        <w:spacing w:after="0" w:line="17" w:lineRule="exact"/>
        <w:rPr>
          <w:sz w:val="20"/>
          <w:szCs w:val="20"/>
          <w:color w:val="auto"/>
        </w:rPr>
      </w:pPr>
    </w:p>
    <w:p>
      <w:pPr>
        <w:ind w:left="9" w:right="80" w:hanging="9"/>
        <w:spacing w:after="0" w:line="241"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this filing, Baker Hughes Company and Baker Hughes Holdings LLC are collectively referred to as "Baker Hughes". Baker Hughes Company has an indirect pecuniary interest in the securities held by Baker Hughes Holdings LLC. Consequently, Baker Hughes Company may be deemed to share beneficial ownership in the securities held directly by Baker Hughes Holdings LLC. The board of directors and officers of Baker Hughes Company disclaim beneficial ownership with respect to such securities.</w:t>
      </w:r>
    </w:p>
    <w:p>
      <w:pPr>
        <w:spacing w:after="0" w:line="23" w:lineRule="exact"/>
        <w:rPr>
          <w:rFonts w:ascii="Times New Roman" w:cs="Times New Roman" w:eastAsia="Times New Roman" w:hAnsi="Times New Roman"/>
          <w:sz w:val="12"/>
          <w:szCs w:val="12"/>
          <w:color w:val="008000"/>
        </w:rPr>
      </w:pPr>
    </w:p>
    <w:p>
      <w:pPr>
        <w:jc w:val="both"/>
        <w:ind w:left="9" w:hanging="9"/>
        <w:spacing w:after="0" w:line="237"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Exchange Agreement, dated as of April 2, 2026, by and among the Issuer, HMH B.V. and the other parties thereto, Baker Hughes has the right to exchange one Issuer Class B Share, one B.V. Non-Voting Class A Share and one B.V. Non-Voting Class B Share for cash or shares of the Class A Common Stock on a one-for-one basis, subject to customary conversion rate adjustments (e.g. for stock splits, stock dividends and reclassifications). These rights are exercisable at any time after the conclusion of the Issuer's IPO lock-up period (i.e., September 27, 2026, unless the IPO lock-up is earlier released or waived by the underwriters of the Issuer's IPO) and do not expire.</w:t>
      </w:r>
    </w:p>
    <w:p>
      <w:pPr>
        <w:spacing w:after="0" w:line="25" w:lineRule="exact"/>
        <w:rPr>
          <w:rFonts w:ascii="Times New Roman" w:cs="Times New Roman" w:eastAsia="Times New Roman" w:hAnsi="Times New Roman"/>
          <w:sz w:val="12"/>
          <w:szCs w:val="12"/>
          <w:color w:val="008000"/>
        </w:rPr>
      </w:pPr>
    </w:p>
    <w:p>
      <w:pPr>
        <w:ind w:left="9" w:right="100" w:hanging="9"/>
        <w:spacing w:after="0" w:line="254"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Judson E. Bailey and M. Georgia Magno are directors of the Issuer and were nominated for such roles by Baker Hughes Holdings LLC. By virtue of their service on the Board of Directors of the Issuer, for purposes of Section 16, Baker Hughes Holdings LLC may be deemed to be a "director by deputization" of the Issuer.</w:t>
      </w:r>
    </w:p>
    <w:p>
      <w:pPr>
        <w:sectPr>
          <w:pgSz w:w="11900" w:h="16838" w:orient="portrait"/>
          <w:cols w:equalWidth="0" w:num="1">
            <w:col w:w="10909"/>
          </w:cols>
          <w:pgMar w:left="491" w:top="129" w:right="499" w:bottom="1440" w:gutter="0" w:footer="0" w:header="0"/>
        </w:sectPr>
      </w:pPr>
    </w:p>
    <w:p>
      <w:pPr>
        <w:spacing w:after="0" w:line="40"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/s/ Fernando Contreras,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-3810</wp:posOffset>
            </wp:positionV>
            <wp:extent cx="12877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President -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1633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332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Officer and Corporate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3652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Baker Hughes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9639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63930" cy="7620"/>
                    </a:xfrm>
                    <a:prstGeom prst="rect">
                      <a:avLst/>
                    </a:prstGeom>
                    <a:noFill/>
                  </pic:spPr>
                </pic:pic>
              </a:graphicData>
            </a:graphic>
          </wp:anchor>
        </w:drawing>
      </w:r>
    </w:p>
    <w:p>
      <w:pPr>
        <w:spacing w:after="0" w:line="36"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/s/ Fernando Contreras,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-3810</wp:posOffset>
            </wp:positionV>
            <wp:extent cx="12877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President -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1633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6332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Officer and Corporate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3652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Baker Hughes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1518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1518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470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470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470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47040" cy="762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8729" w:space="40"/>
            <w:col w:w="2140"/>
          </w:cols>
          <w:pgMar w:left="491" w:top="129" w:right="499" w:bottom="1440" w:gutter="0" w:footer="0" w:header="0"/>
          <w:type w:val="continuous"/>
        </w:sectPr>
      </w:pPr>
    </w:p>
    <w:p>
      <w:pPr>
        <w:ind w:left="6569"/>
        <w:spacing w:after="0"/>
        <w:tabs>
          <w:tab w:leader="none" w:pos="8749"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9" w:right="4060" w:hanging="9"/>
        <w:spacing w:after="0" w:line="336" w:lineRule="auto"/>
        <w:tabs>
          <w:tab w:leader="none" w:pos="135"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9"/>
      </w:cols>
      <w:pgMar w:left="491" w:top="12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3" Type="http://schemas.openxmlformats.org/officeDocument/2006/relationships/hyperlink" Target="http://www.sec.gov/cgi-bin/browse-edgar?action=getcompany&amp;CIK=0001701605" TargetMode="External"/><Relationship Id="rId14" Type="http://schemas.openxmlformats.org/officeDocument/2006/relationships/hyperlink" Target="http://www.sec.gov/cgi-bin/browse-edgar?action=getcompany&amp;CIK=0002021880" TargetMode="External"/><Relationship Id="rId16" Type="http://schemas.openxmlformats.org/officeDocument/2006/relationships/hyperlink" Target="http://www.sec.gov/cgi-bin/browse-edgar?action=getcompany&amp;CIK=0000808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2026-05-04T19:01:01Z</dcterms:created>
  <dcterms:modified xsi:type="dcterms:W3CDTF">2026-05-04T19:01:01Z</dcterms:modified>
</cp:coreProperties>
</file>