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HMH Holding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665,923.00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665,923.00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665,923.00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HC, OO</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10,520,000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April 2, 2026 (according to the issuer's Form 8-K as filed with the Securities and Exchange Commission on April 2, 2026). Except as described in the preceding sentence, all Shares for the holdings of the reporting persons reported in this Schedule 13G are as of the opening of the market on April 9,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665,923.00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665,923.00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665,923.00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160"/>
          </w:cols>
          <w:pgMar w:left="320" w:top="102" w:right="419" w:bottom="0" w:gutter="0" w:footer="0" w:header="0"/>
        </w:sectPr>
      </w:pPr>
    </w:p>
    <w:bookmarkStart w:id="2" w:name="page3"/>
    <w:bookmarkEnd w:id="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71"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665,923.00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665,923.00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665,923.00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71"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jc w:val="right"/>
        <w:ind w:right="6499"/>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LLC</w:t>
      </w:r>
    </w:p>
    <w:p>
      <w:pPr>
        <w:sectPr>
          <w:pgSz w:w="11900" w:h="16871" w:orient="portrait"/>
          <w:cols w:equalWidth="0" w:num="1">
            <w:col w:w="10099"/>
          </w:cols>
          <w:pgMar w:left="360" w:top="612"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bl>
    <w:p>
      <w:pPr>
        <w:sectPr>
          <w:pgSz w:w="11900" w:h="16838" w:orient="portrait"/>
          <w:cols w:equalWidth="0" w:num="1">
            <w:col w:w="10099"/>
          </w:cols>
          <w:pgMar w:left="360" w:top="112" w:right="1440" w:bottom="0"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Power</w:t>
      </w:r>
    </w:p>
    <w:p>
      <w:pPr>
        <w:spacing w:after="0" w:line="2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15.00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0" w:gutter="0" w:footer="0" w:header="0"/>
          <w:type w:val="continuous"/>
        </w:sectPr>
      </w:pPr>
    </w:p>
    <w:bookmarkStart w:id="5" w:name="page6"/>
    <w:bookmarkEnd w:id="5"/>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Kenneth Griffin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64" w:orient="portrait"/>
          <w:cols w:equalWidth="0" w:num="1">
            <w:col w:w="10980"/>
          </w:cols>
          <w:pgMar w:left="360" w:top="189" w:right="55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665,938.00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665,938.00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665,938.00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64" w:orient="portrait"/>
          <w:cols w:equalWidth="0" w:num="2">
            <w:col w:w="1060" w:space="60"/>
            <w:col w:w="9860"/>
          </w:cols>
          <w:pgMar w:left="360" w:top="189" w:right="55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HMH Holding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3300 North Sam Houston Parkway East, Houston, TX 77032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and Citadel Securities. Such owned Shares may include other instruments exercisable for or convertible into Shares. Citadel Advisors is the portfolio manager for CM. CAH is the sole member of Citadel Advisors. CGP is the general partner of CAH. CALC4 is the non-member manager of Citadel Securities. CSGP is the general partner of CALC4. Mr. Griffin is the President and Chief Executive Officer of CGP, and owns a controlling interest in CGP and CSGP.</w:t>
      </w:r>
    </w:p>
    <w:p>
      <w:pPr>
        <w:sectPr>
          <w:pgSz w:w="11900" w:h="16864" w:orient="portrait"/>
          <w:cols w:equalWidth="0" w:num="1">
            <w:col w:w="10980"/>
          </w:cols>
          <w:pgMar w:left="360" w:top="189" w:right="559" w:bottom="0" w:gutter="0" w:footer="0" w:header="0"/>
          <w:type w:val="continuous"/>
        </w:sectPr>
      </w:pPr>
    </w:p>
    <w:bookmarkStart w:id="6" w:name="page7"/>
    <w:bookmarkEnd w:id="6"/>
    <w:p>
      <w:pPr>
        <w:ind w:left="920" w:right="80"/>
        <w:spacing w:after="0" w:line="268" w:lineRule="auto"/>
        <w:rPr>
          <w:sz w:val="20"/>
          <w:szCs w:val="20"/>
          <w:color w:val="auto"/>
        </w:rPr>
      </w:pPr>
      <w:r>
        <w:rPr>
          <w:rFonts w:ascii="Times New Roman" w:cs="Times New Roman" w:eastAsia="Times New Roman" w:hAnsi="Times New Roman"/>
          <w:sz w:val="21"/>
          <w:szCs w:val="21"/>
          <w:color w:val="auto"/>
        </w:rPr>
        <w:t>The filing of this statement shall not be construed as an admission that any of the Reporting Persons is the beneficial owner of any securities covered by the statement other than the securities actually owned by such person (if any).</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address of each of the Reporting Persons is 830 Brickell Plaza, Miami, Florida 33131.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18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ectPr>
          <w:pgSz w:w="11900" w:h="16838" w:orient="portrait"/>
          <w:cols w:equalWidth="0" w:num="1">
            <w:col w:w="11080"/>
          </w:cols>
          <w:pgMar w:left="360" w:top="111" w:right="45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$0.01 per share (the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60"/>
          </w:cols>
          <w:pgMar w:left="360" w:top="111" w:right="459" w:bottom="0" w:gutter="0" w:footer="0" w:header="0"/>
          <w:type w:val="continuous"/>
        </w:sect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hanging="912"/>
        <w:spacing w:after="0" w:line="193"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 Each of Citadel Advisors LLC, Citadel Advisors Holdings LP and Citadel GP LLC may be deemed to beneficially own 665,923 Shares. 2. Citadel Securities LLC may be deemed to beneficially own 15 Shares. 3. Each of Citadel Securities Group LP and Citadel Securities GP LLC may be deemed to beneficially own 15 Shares. 4. Mr. Griffin may be deemed to beneficially own 665,938 Shares.</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1140" w:hanging="214"/>
        <w:spacing w:after="0"/>
        <w:tabs>
          <w:tab w:leader="none" w:pos="1140"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that each of Citadel Advisors LLC, Citadel Advisors Holdings LP and Citadel GP LLC may</w:t>
      </w:r>
    </w:p>
    <w:p>
      <w:pPr>
        <w:spacing w:after="0" w:line="25" w:lineRule="exact"/>
        <w:rPr>
          <w:rFonts w:ascii="Times New Roman" w:cs="Times New Roman" w:eastAsia="Times New Roman" w:hAnsi="Times New Roman"/>
          <w:sz w:val="21"/>
          <w:szCs w:val="21"/>
          <w:color w:val="auto"/>
        </w:rPr>
      </w:pPr>
    </w:p>
    <w:p>
      <w:pPr>
        <w:ind w:left="920" w:right="140" w:hanging="912"/>
        <w:spacing w:after="0" w:line="196"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 deemed to beneficially own constitutes 6.3% of the Shares outstanding. 2. The number of Shares that Citadel Securities LLC may be deemed to beneficially own constitutes 0.0% of the Shares outstanding. 3. The number of Shares that each of Citadel Securities Group LP and Citadel Securities GP LLC may be deemed to beneficially own constitutes 0.0% of the Shares outstanding. 4. The number of Shares that Mr. Griffin may be deemed to beneficially own constitutes 6.3% of the Shares outstanding.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1140" w:hanging="214"/>
        <w:spacing w:after="0"/>
        <w:tabs>
          <w:tab w:leader="none" w:pos="1140"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5" w:lineRule="exact"/>
        <w:rPr>
          <w:rFonts w:ascii="Times New Roman" w:cs="Times New Roman" w:eastAsia="Times New Roman" w:hAnsi="Times New Roman"/>
          <w:sz w:val="21"/>
          <w:szCs w:val="21"/>
          <w:color w:val="auto"/>
        </w:rPr>
      </w:pPr>
    </w:p>
    <w:p>
      <w:pPr>
        <w:ind w:left="1140" w:hanging="214"/>
        <w:spacing w:after="0"/>
        <w:tabs>
          <w:tab w:leader="none" w:pos="11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120" w:firstLine="6"/>
        <w:spacing w:after="0" w:line="282" w:lineRule="auto"/>
        <w:tabs>
          <w:tab w:leader="none" w:pos="1136"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665,923 2. Citadel Securities LLC: 15 3. Each of Citadel Securities Group LP and Citadel Securities GP LLC: 15 4. Mr. Griffin: 665,938</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1140" w:hanging="214"/>
        <w:spacing w:after="0"/>
        <w:tabs>
          <w:tab w:leader="none" w:pos="11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5" w:lineRule="exact"/>
        <w:rPr>
          <w:rFonts w:ascii="Times New Roman" w:cs="Times New Roman" w:eastAsia="Times New Roman" w:hAnsi="Times New Roman"/>
          <w:sz w:val="21"/>
          <w:szCs w:val="21"/>
          <w:color w:val="auto"/>
        </w:rPr>
      </w:pPr>
    </w:p>
    <w:p>
      <w:pPr>
        <w:ind w:left="1140" w:hanging="214"/>
        <w:spacing w:after="0"/>
        <w:tabs>
          <w:tab w:leader="none" w:pos="11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ectPr>
          <w:pgSz w:w="11900" w:h="16838" w:orient="portrait"/>
          <w:cols w:equalWidth="0" w:num="1">
            <w:col w:w="11080"/>
          </w:cols>
          <w:pgMar w:left="360" w:top="111" w:right="459" w:bottom="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4" w:lineRule="exact"/>
        <w:rPr>
          <w:sz w:val="20"/>
          <w:szCs w:val="20"/>
          <w:color w:val="auto"/>
        </w:rPr>
      </w:pPr>
    </w:p>
    <w:p>
      <w:pPr>
        <w:ind w:right="180" w:firstLine="6"/>
        <w:spacing w:after="0" w:line="282" w:lineRule="auto"/>
        <w:tabs>
          <w:tab w:leader="none" w:pos="21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665,923 2. Citadel Securities LLC: 15 3. Each of Citadel Securities Group LP and Citadel Securities GP LLC: 15 4. Mr. Griffin: 665,938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7" w:orient="portrait"/>
          <w:cols w:equalWidth="0" w:num="2">
            <w:col w:w="720" w:space="200"/>
            <w:col w:w="10220"/>
          </w:cols>
          <w:pgMar w:left="360" w:top="111"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Citadel GP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Kenneth Griffin</w:t>
      </w:r>
    </w:p>
    <w:p>
      <w:pPr>
        <w:spacing w:after="0" w:line="152"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ectPr>
          <w:pgSz w:w="11900" w:h="16887" w:orient="portrait"/>
          <w:cols w:equalWidth="0" w:num="1">
            <w:col w:w="11140"/>
          </w:cols>
          <w:pgMar w:left="360" w:top="111" w:right="399" w:bottom="0" w:gutter="0" w:footer="0" w:header="0"/>
          <w:type w:val="continuous"/>
        </w:sectPr>
      </w:pPr>
    </w:p>
    <w:bookmarkStart w:id="8" w:name="page9"/>
    <w:bookmarkEnd w:id="8"/>
    <w:p>
      <w:pPr>
        <w:ind w:left="3740"/>
        <w:spacing w:after="0"/>
        <w:rPr>
          <w:sz w:val="20"/>
          <w:szCs w:val="20"/>
          <w:color w:val="auto"/>
        </w:rPr>
      </w:pPr>
      <w:r>
        <w:rPr>
          <w:rFonts w:ascii="Times New Roman" w:cs="Times New Roman" w:eastAsia="Times New Roman" w:hAnsi="Times New Roman"/>
          <w:sz w:val="22"/>
          <w:szCs w:val="22"/>
          <w:color w:val="auto"/>
        </w:rPr>
        <w:t>Name/Title: Seth Levy, attorney-in-fact*</w:t>
      </w:r>
    </w:p>
    <w:p>
      <w:pPr>
        <w:spacing w:after="0" w:line="44"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Seth Levy is signing on behalf of Kenneth Griffin as attorney-in-fact pursuant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4" w:lineRule="exact"/>
        <w:rPr>
          <w:sz w:val="20"/>
          <w:szCs w:val="20"/>
          <w:color w:val="auto"/>
        </w:rPr>
      </w:pPr>
    </w:p>
    <w:p>
      <w:pPr>
        <w:jc w:val="center"/>
        <w:ind w:right="77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99.1 - Joint Filing Agreement</w:t>
      </w:r>
    </w:p>
    <w:p>
      <w:pPr>
        <w:sectPr>
          <w:pgSz w:w="11900" w:h="16838" w:orient="portrait"/>
          <w:cols w:equalWidth="0" w:num="1">
            <w:col w:w="11020"/>
          </w:cols>
          <w:pgMar w:left="320" w:top="153" w:right="5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filed herewith (and any amendments thereto), relating to the Shares, is being filed jointly with the Securities and Exchange Commission pursuant to Rule 13d-1(c) under the Securities Exchange Act of 1934, as amended, on behalf of each of the undersigned.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may be executed in counterparts and each of such counterparts taken together shall constitute one and the same instrument.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9, 2026.</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LLC</w:t>
            </w:r>
          </w:p>
        </w:tc>
        <w:tc>
          <w:tcPr>
            <w:tcW w:w="5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8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r>
        <w:trPr>
          <w:trHeight w:val="68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GROUP LP</w:t>
            </w:r>
          </w:p>
        </w:tc>
        <w:tc>
          <w:tcPr>
            <w:tcW w:w="5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8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r>
        <w:trPr>
          <w:trHeight w:val="68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GP LLC</w:t>
            </w:r>
          </w:p>
        </w:tc>
        <w:tc>
          <w:tcPr>
            <w:tcW w:w="5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c>
          <w:tcPr>
            <w:tcW w:w="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Levy</w:t>
            </w:r>
          </w:p>
        </w:tc>
      </w:tr>
      <w:tr>
        <w:trPr>
          <w:trHeight w:val="228"/>
        </w:trPr>
        <w:tc>
          <w:tcPr>
            <w:tcW w:w="5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c>
          <w:tcPr>
            <w:tcW w:w="8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Seth Levy, Authorized Signatory</w:t>
            </w:r>
          </w:p>
        </w:tc>
      </w:tr>
    </w:tbl>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KENNETH GRIFFIN</w:t>
      </w:r>
    </w:p>
    <w:p>
      <w:pPr>
        <w:spacing w:after="0" w:line="256"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Seth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17145</wp:posOffset>
            </wp:positionV>
            <wp:extent cx="3180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Seth Levy, attorney-in-fact</w:t>
      </w:r>
      <w:r>
        <w:rPr>
          <w:rFonts w:ascii="Times New Roman" w:cs="Times New Roman" w:eastAsia="Times New Roman" w:hAnsi="Times New Roman"/>
          <w:sz w:val="29"/>
          <w:szCs w:val="29"/>
          <w:u w:val="single" w:color="auto"/>
          <w:color w:val="auto"/>
          <w:vertAlign w:val="superscript"/>
        </w:rPr>
        <w:t>*</w:t>
      </w:r>
    </w:p>
    <w:p>
      <w:pPr>
        <w:spacing w:after="0" w:line="149" w:lineRule="exact"/>
        <w:rPr>
          <w:sz w:val="20"/>
          <w:szCs w:val="20"/>
          <w:color w:val="auto"/>
        </w:rPr>
      </w:pPr>
    </w:p>
    <w:p>
      <w:pPr>
        <w:ind w:left="120" w:right="240" w:hanging="112"/>
        <w:spacing w:after="0" w:line="210" w:lineRule="auto"/>
        <w:tabs>
          <w:tab w:leader="none" w:pos="120" w:val="left"/>
        </w:tabs>
        <w:numPr>
          <w:ilvl w:val="0"/>
          <w:numId w:val="17"/>
        </w:numPr>
        <w:rPr>
          <w:rFonts w:ascii="Times New Roman" w:cs="Times New Roman" w:eastAsia="Times New Roman" w:hAnsi="Times New Roman"/>
          <w:sz w:val="30"/>
          <w:szCs w:val="30"/>
          <w:u w:val="single" w:color="auto"/>
          <w:color w:val="auto"/>
          <w:vertAlign w:val="superscript"/>
        </w:rPr>
      </w:pPr>
      <w:r>
        <w:rPr>
          <w:rFonts w:ascii="Times New Roman" w:cs="Times New Roman" w:eastAsia="Times New Roman" w:hAnsi="Times New Roman"/>
          <w:sz w:val="18"/>
          <w:szCs w:val="18"/>
          <w:color w:val="auto"/>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2"/>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3"/>
      <w:numFmt w:val="bullet"/>
      <w:start w:val="1"/>
    </w:lvl>
  </w:abstractNum>
  <w:abstractNum w:abstractNumId="6">
    <w:nsid w:val="66EF438D"/>
    <w:multiLevelType w:val="hybridMultilevel"/>
    <w:lvl w:ilvl="0">
      <w:lvlJc w:val="left"/>
      <w:lvlText w:val="2"/>
      <w:numFmt w:val="bullet"/>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3"/>
    </w:lvl>
  </w:abstractNum>
  <w:abstractNum w:abstractNumId="9">
    <w:nsid w:val="109CF92E"/>
    <w:multiLevelType w:val="hybridMultilevel"/>
    <w:lvl w:ilvl="0">
      <w:lvlJc w:val="left"/>
      <w:lvlText w:val="(%1)"/>
      <w:numFmt w:val="lowerLetter"/>
      <w:start w:val="11"/>
    </w:lvl>
  </w:abstractNum>
  <w:abstractNum w:abstractNumId="10">
    <w:nsid w:val="DED7263"/>
    <w:multiLevelType w:val="hybridMultilevel"/>
    <w:lvl w:ilvl="0">
      <w:lvlJc w:val="left"/>
      <w:lvlText w:val="(%1)"/>
      <w:numFmt w:val="lowerLetter"/>
      <w:start w:val="1"/>
    </w:lvl>
    <w:lvl w:ilvl="1">
      <w:lvlJc w:val="left"/>
      <w:lvlText w:val="%2."/>
      <w:numFmt w:val="decimal"/>
      <w:start w:val="1"/>
    </w:lvl>
  </w:abstractNum>
  <w:abstractNum w:abstractNumId="11">
    <w:nsid w:val="7FDCC233"/>
    <w:multiLevelType w:val="hybridMultilevel"/>
    <w:lvl w:ilvl="0">
      <w:lvlJc w:val="left"/>
      <w:lvlText w:val="%1"/>
      <w:numFmt w:val="lowerLetter"/>
      <w:start w:val="1"/>
    </w:lvl>
    <w:lvl w:ilvl="1">
      <w:lvlJc w:val="left"/>
      <w:lvlText w:val="%2."/>
      <w:numFmt w:val="decimal"/>
      <w:start w:val="3"/>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3"/>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2026-04-09T15:28:45Z</dcterms:created>
  <dcterms:modified xsi:type="dcterms:W3CDTF">2026-04-09T15:28:45Z</dcterms:modified>
</cp:coreProperties>
</file>